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634765625"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Welcome to the Demand Management and Renewables (DPS)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29.52209472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Registration questionnaire.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9541015625" w:line="240" w:lineRule="auto"/>
        <w:ind w:left="16.0701751708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 will only have to complete this questionnaire once to register on Demand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6.495437622070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Management and Renewables (DPS). This questionnaire allows you to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register your decarbonisation and wider energy offering to Crown Commercial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 (CCS).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1347656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As part of the registration process, you will be asked to provide information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about the types of work you can provide and the level of service within each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4.982070922851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industry type. This information will allow buyers to invite you to bid for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contracts that are suited to you directly, streamlining the contracting process.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questionnaire should be updated if your business changes its service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offerings to ensure all opportunities offered are valid.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1.553344726562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51269531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self certify that your organisation and all members of your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1.28280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Group of Economic Operators has an Equality and Diversity Policy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that complies with current legislative requirements.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9042968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8598632812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RM6313 DPS.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26635742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4470214843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325683593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8217773438"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indicate if, within the past three years, you, your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or any other person who has powers of representation,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decision or control in the organisation has breached data protection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obligations in the UK or anywhere else in the world.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98059082031"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1/79</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92089843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Yes, your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1660156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RM6313 DPS.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26025390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639648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provide details </w:t>
      </w:r>
    </w:p>
    <w:tbl>
      <w:tblPr>
        <w:tblStyle w:val="Table1"/>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38671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5737304687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self-certify that your organisation and/or any of your Group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of Economic Operators and/or proposed Key Sub-Contractors will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comply with the "Supplier Code of Conduct" as detailed in the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22705078125" w:line="240" w:lineRule="auto"/>
        <w:ind w:left="19.7694396972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in the following link?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89306640625" w:line="240" w:lineRule="auto"/>
        <w:ind w:left="21.9554138183593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Supplier Code of Conduct September 2019</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591552734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737792968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is a PASS or FAIL question. If you select 'No' to this question,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413.5974121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organisation will be deemed as non compliant and will therefore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22705078125" w:line="240" w:lineRule="auto"/>
        <w:ind w:left="419.314498901367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 rejected from the RM6313 DPS.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26025390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324951171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325683593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pgSz w:h="16840" w:w="11900" w:orient="portrait"/>
          <w:pgMar w:bottom="707.5" w:top="386.6015625" w:left="853.1263732910156" w:right="861.973876953125" w:header="0" w:footer="720"/>
          <w:pgNumType w:start="1"/>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8217773438" w:line="242.76068687438965"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accordance with questions 140, 141, 142 and 143 of the standard Selection Questionnaire, please confirm you have all of the required insurances in place by selecting below, and that you agree to provide evidence of each insurance to CCS following your appointment to the DPS.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28271484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650634765625" w:line="233.24004650115967"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Once you are </w:t>
      </w:r>
      <w:r w:rsidDel="00000000" w:rsidR="00000000" w:rsidRPr="00000000">
        <w:rPr>
          <w:rFonts w:ascii="Arial" w:cs="Arial" w:eastAsia="Arial" w:hAnsi="Arial"/>
          <w:b w:val="1"/>
          <w:i w:val="0"/>
          <w:smallCaps w:val="0"/>
          <w:strike w:val="0"/>
          <w:color w:val="0b0c0c"/>
          <w:sz w:val="14.412734985351562"/>
          <w:szCs w:val="14.412734985351562"/>
          <w:u w:val="none"/>
          <w:shd w:fill="auto" w:val="clear"/>
          <w:vertAlign w:val="baseline"/>
          <w:rtl w:val="0"/>
        </w:rPr>
        <w:t xml:space="preserve">appointed only </w:t>
      </w: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to the DPS, you will be required to provide copies of your insurance certificates. However, if you wish you can upload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122985839843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71.0462188720703" w:right="1929.1448974609375" w:header="0" w:footer="720"/>
          <w:cols w:equalWidth="0" w:num="2">
            <w:col w:space="0" w:w="4560"/>
            <w:col w:space="0" w:w="456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them below now.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6692810058594"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2/79</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Pr>
        <w:drawing>
          <wp:inline distB="19050" distT="19050" distL="19050" distR="19050">
            <wp:extent cx="266936" cy="26693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66936" cy="266936"/>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279296875" w:line="257.04105377197266" w:lineRule="auto"/>
        <w:ind w:left="20.610198974609375" w:right="5228.3111572265625" w:firstLine="3.8674163818359375"/>
        <w:jc w:val="left"/>
        <w:rPr>
          <w:rFonts w:ascii="Arial" w:cs="Arial" w:eastAsia="Arial" w:hAnsi="Arial"/>
          <w:b w:val="1"/>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It is a legal requirement that all companies hold Employer's (Compulsory) Liability Insurance of £5 million as a minimum. Please note this requirement is not applicable to sole traders.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0090389251709"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5580.7598876953125" w:header="0" w:footer="720"/>
          <w:cols w:equalWidth="0" w:num="2">
            <w:col w:space="0" w:w="2680"/>
            <w:col w:space="0" w:w="26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Professional indemnity insurance with cover of not less than one million pounds (£1,000,000);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4228515625" w:line="239.9023675918579" w:lineRule="auto"/>
        <w:ind w:left="26.495437622070312" w:right="4315.5755615234375" w:firstLine="3.7833404541015625"/>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insurance certificate (this is optional, please see guidance note).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92871093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3"/>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00689315795898"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5624.39697265625" w:header="0" w:footer="720"/>
          <w:cols w:equalWidth="0" w:num="2">
            <w:col w:space="0" w:w="2660"/>
            <w:col w:space="0" w:w="26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liability insurance with cover of not less than one million pounds (£1,000,000);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43505859375" w:line="239.9044132232666" w:lineRule="auto"/>
        <w:ind w:left="26.495437622070312" w:right="4315.5755615234375" w:firstLine="3.7833404541015625"/>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insurance certificate (this is optional, please see guidance note).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745605468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5"/>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0090389251709"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5459.25048828125" w:header="0" w:footer="720"/>
          <w:cols w:equalWidth="0" w:num="2">
            <w:col w:space="0" w:w="2740"/>
            <w:col w:space="0" w:w="27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Product liability insurance with cover of not less than one million pounds (£1,000,000);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41064453125" w:line="239.90427017211914" w:lineRule="auto"/>
        <w:ind w:left="26.495437622070312" w:right="4315.5755615234375" w:firstLine="3.7833404541015625"/>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insurance certificate (this is optional, please see guidance note).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745605468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7"/>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73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00812339782715"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5459.5526123046875" w:header="0" w:footer="720"/>
          <w:cols w:equalWidth="0" w:num="2">
            <w:col w:space="0" w:w="2740"/>
            <w:col w:space="0" w:w="27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Employers' (compulsory) liability insurance with cover of not less than five million pounds (£5,000,000).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41979980468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insurance certificate (this is optional, please see guidance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54345703125" w:line="240" w:lineRule="auto"/>
        <w:ind w:left="26.4954376220703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note).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5434570312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9"/>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5928955078"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indicate which of the following VAT codes apply to your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3/79</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indicate which of the following VAT codes apply to your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8642578125" w:line="240" w:lineRule="auto"/>
        <w:ind w:left="633.81195068359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UK Company - VAT Registered in the UK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Non-EU Company - Not VAT Registered in the UK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111328125" w:line="240" w:lineRule="auto"/>
        <w:ind w:left="634.95300292968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EU Company - VAT Registered in the UK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NI Company - VAT Registered in the UK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Non-EU Company - VAT Registered in the UK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111328125" w:line="240" w:lineRule="auto"/>
        <w:ind w:left="634.95300292968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EU Company - Not VAT Registered in the UK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3.81195068359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UK Company - Not VAT Registered in the UK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081542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51660156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have answered No to Q.155 of the standard Selection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47119140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Questionnaire (Does your organisation have Cyber Essentials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Certification?), please confirm below if your response is correct: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599121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90124511718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as PASS/FAIL. If you answer Yes, your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RM6313 DPS.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15185546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08081054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 I have Cyber Essentials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7.4050903320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4/79</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 I have Cyber Essentials Plus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94335937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have confirmed that you have Cyber Essentials at Q.155 of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Selection Questionnaire and/or at question 6. above, please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532226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confirm that you are able to provide a copy of your Cyber Essentials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certificate following appointment to this DPS.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538085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9042968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as PASS/FAIL. If you answer No, your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RM6313 DPS.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09082031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11132812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237060546875"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have answered No to Q.155 and Yes to Q.156 (Cyber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Essentials Plus), of the standard Selection Questionnaire, please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confirm you are able to provide a copy of your Cyber Essentials Plus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certification, following appointment to the DPS.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893066406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selected Yes to Q.155 of the standard Selection Questionnaire, please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select Not applicable.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591552734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8981933593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as PASS/FAIL. If you answer No, your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RM6313 DPS.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09082031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08081054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 I have Cyber Essentials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85180664062" w:line="240" w:lineRule="auto"/>
        <w:ind w:left="18.59245300292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 the members of your Group of Economic Operators and/or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proposed Sub-Contractors agree to have Cyber Essentials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532226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certification on or before appointment to the DPS, in line with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Schedule 9 (Cyber Essentials Scheme) of the Terms and Conditions.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61437988281"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5/79</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904296875" w:line="240" w:lineRule="auto"/>
        <w:ind w:left="427.049255371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not bidding as a Group of Economic Operators and you are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22.0048522949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not proposing to use any Sub-Contractors please select Not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7.296676635742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applicable. This section is evaluated as PASS/FAIL. If you answer No,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5322265625" w:line="240" w:lineRule="auto"/>
        <w:ind w:left="413.5974121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organisation will be deemed as non compliant and will therefore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9.314498901367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 rejected from the RM6313 DPS.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26025390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11132812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66308593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51660156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answered Yes to Q19 of the standard Selection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Questionnaire, Please provide the number of your Group of Economic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 members.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89306640625" w:line="240" w:lineRule="auto"/>
        <w:ind w:left="30.69915771484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selected 'No' to Q.19 of the standard Selection Questionnaire, please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318374633789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leave blank.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61596679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Number of Group of Economic Operator members. </w:t>
      </w:r>
    </w:p>
    <w:tbl>
      <w:tblPr>
        <w:tblStyle w:val="Table1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048217773438"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1.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3854980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1. </w:t>
      </w:r>
    </w:p>
    <w:tbl>
      <w:tblPr>
        <w:tblStyle w:val="Table1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6/79</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12"/>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1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1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1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1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1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1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1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2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2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1.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4370117187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16192626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7/79</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3623046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24316406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1.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3562011718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517578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2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1 a Small, Medium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65820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37841796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8/79</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2431640625" w:line="242.75968551635742"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member 2.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330566406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2 </w:t>
      </w:r>
    </w:p>
    <w:tbl>
      <w:tblPr>
        <w:tblStyle w:val="Table2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63330078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24"/>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25"/>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26"/>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2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2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2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3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3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3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67.0106506347656" w:right="861.9738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9/79</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3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2.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3623046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230957031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2.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359252929688"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191223144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10/79</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639648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3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2 a Small, Medium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65820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601806640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940429687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9594726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3.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354980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3 </w:t>
      </w:r>
    </w:p>
    <w:tbl>
      <w:tblPr>
        <w:tblStyle w:val="Table3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6271972656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37"/>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3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3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4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4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11/79</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4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4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4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4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4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3.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331665039062"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3.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43701171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25567626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12/79</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68652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4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88272094726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3 a Small, Medium or Micro Enterprise (SME)?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612060546875" w:line="242.75882720947266" w:lineRule="auto"/>
        <w:ind w:left="0"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than €43m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596679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330078125" w:line="242.7588272094726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member 4.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3311767578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4 </w:t>
      </w:r>
    </w:p>
    <w:tbl>
      <w:tblPr>
        <w:tblStyle w:val="Table4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5264892578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49"/>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67.0106506347656" w:right="861.9738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13/79</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5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5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5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5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5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5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4.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4370117187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5.19317626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14/79</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34082031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4.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517578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6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4 a Small, Medium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65820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997070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651367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15/79</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5.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41601562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5 </w:t>
      </w:r>
    </w:p>
    <w:tbl>
      <w:tblPr>
        <w:tblStyle w:val="Table6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53564453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62"/>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6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6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6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6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6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6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6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7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7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6.022993723551433"/>
          <w:szCs w:val="26.022993723551433"/>
          <w:u w:val="none"/>
          <w:shd w:fill="auto" w:val="clear"/>
          <w:vertAlign w:val="subscript"/>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 2022 NQC Ltd All Rights Reserved. 16/79</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5.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34082031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29.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5.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43701171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53283691406"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7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17/79</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5 a Small, Medium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65820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61157226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6.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41601562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6 </w:t>
      </w:r>
    </w:p>
    <w:tbl>
      <w:tblPr>
        <w:tblStyle w:val="Table7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5295410156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74"/>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7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7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7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7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7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8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18/79</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8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8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8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6.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328613281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6.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28692626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19/79</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639648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8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6 a Small, Medium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65820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61157226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3300781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7.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354980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7 </w:t>
      </w:r>
    </w:p>
    <w:tbl>
      <w:tblPr>
        <w:tblStyle w:val="Table8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248535156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86"/>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8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8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20/79</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8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9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9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9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9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9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9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93603515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7.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0375976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188232421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331665039062"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7.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5.319824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21/79</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996093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38574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0517578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9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7 a Small, Medium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7404785156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61157226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4569091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39.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8.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63854980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8 </w:t>
      </w:r>
    </w:p>
    <w:tbl>
      <w:tblPr>
        <w:tblStyle w:val="Table9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92744445800781"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22/79</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98"/>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9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10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10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10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10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10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10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10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10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8.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901367187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65966796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3.29864501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23/79</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8.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22216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56445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10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8 a Small, Medium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476074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24/79</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2.75968551635742"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member 9.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350097656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9 </w:t>
      </w:r>
    </w:p>
    <w:tbl>
      <w:tblPr>
        <w:tblStyle w:val="Table10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3095703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110"/>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11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11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11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114"/>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115"/>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116"/>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11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11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67.0106506347656" w:right="861.9738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25/79</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11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12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9.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330078125"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9.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2221679688"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3.29864501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26/79</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686523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12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9 a Small, Medium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Micro Enterprise (SME)?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27.336196899414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than €43m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9404296875"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Group of Economic Operator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10.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30810546875"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Group of Economic Operator member 10 </w:t>
      </w:r>
    </w:p>
    <w:tbl>
      <w:tblPr>
        <w:tblStyle w:val="Table12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7248535156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123"/>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12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12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12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12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27/79</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12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registration number </w:t>
      </w:r>
    </w:p>
    <w:tbl>
      <w:tblPr>
        <w:tblStyle w:val="Table12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13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VAT number </w:t>
      </w:r>
    </w:p>
    <w:tbl>
      <w:tblPr>
        <w:tblStyle w:val="Table13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13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organisation type of Group of Economic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Operators member 10.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21.26083374023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Voluntary, Community and Social Enterprise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631.0736083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(VCSE)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Sheltered Workshop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service mutual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None of the above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0" w:lineRule="auto"/>
        <w:ind w:left="17.91984558105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49.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trading status of Group of Economic Operators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member 10.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9013671875" w:line="240" w:lineRule="auto"/>
        <w:ind w:left="635.18112182617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Public limited company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company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9.39239501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28/79</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2.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Limited liability partnership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partnership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25.36849975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Sole trader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19.207000732421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Third sector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Other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686523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specify trading status </w:t>
      </w:r>
    </w:p>
    <w:tbl>
      <w:tblPr>
        <w:tblStyle w:val="Table13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Is your Group of Economic Operators member 10 a Small,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6.495437622070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Medium or Micro Enterprise (SME) ?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35791015625" w:line="242.75882720947266" w:lineRule="auto"/>
        <w:ind w:left="16.238327026367188" w:right="4344.5477294921875" w:firstLine="11.097869873046875"/>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Less than 250 employees, and turnover less than €50m or balance sheet less than €43m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5966796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803466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2.75922775268555"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your organisation has previously been appointed to this DPS, and subsequently removed from this DPS following a Contract Termination?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90612792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33551025390625"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date your contract was terminated.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77099609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5804443359375" w:line="233.2346248626709"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69.3647003173828" w:right="1649.8974609375" w:header="0" w:footer="720"/>
          <w:cols w:equalWidth="0" w:num="2">
            <w:col w:space="0" w:w="4700"/>
            <w:col w:space="0" w:w="470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If you cannot provide evidence of self cleaning that is acceptable to CCS, you will be excluded from further participation in this DPS. In this instance CCS will confirm the reasons why.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4.72229003906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29/79</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date your contract was terminated.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Day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(DD) </w:t>
      </w:r>
    </w:p>
    <w:tbl>
      <w:tblPr>
        <w:tblStyle w:val="Table134"/>
        <w:tblW w:w="528.466949462890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8341331481934"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Month (MM) </w:t>
      </w:r>
    </w:p>
    <w:tbl>
      <w:tblPr>
        <w:tblStyle w:val="Table135"/>
        <w:tblW w:w="528.4669494628906" w:type="dxa"/>
        <w:jc w:val="left"/>
        <w:tblInd w:w="80.848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Year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(YYYY) </w:t>
      </w:r>
    </w:p>
    <w:tbl>
      <w:tblPr>
        <w:tblStyle w:val="Table136"/>
        <w:tblW w:w="696.6156005859375" w:type="dxa"/>
        <w:jc w:val="left"/>
        <w:tblInd w:w="161.697998046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6.6156005859375"/>
        <w:tblGridChange w:id="0">
          <w:tblGrid>
            <w:gridCol w:w="696.6156005859375"/>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07.5" w:top="386.6015625" w:left="867.0106506347656" w:right="8414.675903320312" w:header="0" w:footer="720"/>
          <w:cols w:equalWidth="0" w:num="3">
            <w:col w:space="0" w:w="880"/>
            <w:col w:space="0" w:w="880"/>
            <w:col w:space="0" w:w="880"/>
          </w:cols>
        </w:sectPr>
      </w:pPr>
      <w:r w:rsidDel="00000000" w:rsidR="00000000" w:rsidRPr="00000000">
        <w:rPr>
          <w:rtl w:val="0"/>
        </w:rPr>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provide details of the reason for your contract termination. </w:t>
      </w:r>
    </w:p>
    <w:tbl>
      <w:tblPr>
        <w:tblStyle w:val="Table137"/>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your Companies House registered company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number.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369140625" w:line="240" w:lineRule="auto"/>
        <w:ind w:left="30.639114379882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Registered company number </w:t>
      </w:r>
    </w:p>
    <w:tbl>
      <w:tblPr>
        <w:tblStyle w:val="Table13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answers you have provided in the previous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sections of your DPSQ submission and select the following tick box to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confirm that the responses provided are correct.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01123046875" w:line="240" w:lineRule="auto"/>
        <w:ind w:left="183.1378173828125"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Please note, you are unable to change responses in previous sections: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3438720703125"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Equality and Diversity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9.1996765136719"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Data Protection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3.2905578613281"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Supplier Code of Conduct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0.7850646972656"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Insurances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3.2905578613281"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Cyber Security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2.7139282226562"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Group of Economic Operators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3.2905578613281"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Contract Termination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3.2905578613281"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Companies House Data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0926513671875" w:line="233.26173305511475" w:lineRule="auto"/>
        <w:ind w:left="174.9225616455078" w:right="4158.2147216796875" w:firstLine="0.57647705078125"/>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Once you have selected the tick box to confirm the responses provided are correct and you select 'Save and Continue'.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13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263.572998046875" w:header="0" w:footer="720"/>
          <w:cols w:equalWidth="0" w:num="2">
            <w:col w:space="0" w:w="840"/>
            <w:col w:space="0" w:w="8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 Confirm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4022216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0" w:lineRule="auto"/>
        <w:ind w:left="18.424301147460938"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your completed</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3a Financial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Viability Risk Assessment Tool</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29.18579101562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read</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 Assessment Tool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Instructions</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before completing.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651367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8596191406"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completed Attachment 3a Financial Viability Risk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20849609375" w:line="240" w:lineRule="auto"/>
        <w:ind w:left="16.94702148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Assessment Tool, this should also include where applicable your parent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27099609375" w:line="240" w:lineRule="auto"/>
        <w:ind w:left="19.46922302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company and ultimate parent company information.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208496093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30/79</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0"/>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5361328125"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your published accounts as detailed in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 Assessment Tool Instructions</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5842285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592773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accounts.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1"/>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52392578125"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your parent company published accounts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9465026855468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 Assessment Tool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451660156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your parent company has been in operation for less than 3 years please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provide all available accounts.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7070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parent company accounts.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2"/>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0" w:lineRule="auto"/>
        <w:ind w:left="18.4243011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your ultimate parent company published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9465026855468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accounts 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Assessment Tool 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your ultimate parent company has been in operation for less than 3 years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31/79</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68551635742"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your ultimate parent company has been in operation for less than 3 years please provide all available accounts.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58447265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5927734375" w:line="239.88341331481934" w:lineRule="auto"/>
        <w:ind w:left="0"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ultimate parent company accounts. </w:t>
      </w: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3"/>
        <w:tblW w:w="3891.43844604492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2.75888442993164"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bidding as a Group of Economic Operators, are you able to provide your completed</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3a Financial Viability Risk</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Assessment Tool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for each member?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612060546875" w:line="242.7588272094726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read</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 Assessment Tool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Instructions</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before completing.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596679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564453125" w:line="239.91149425506592"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your completed Attachment 3a Financial Viability Risk Assessment Tool for each member, this should also include where applicable their parent company and ultimate parent company information.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92431640625" w:line="240" w:lineRule="auto"/>
        <w:ind w:left="0"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4"/>
        <w:tblW w:w="3891.43844604492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6352539062" w:line="242.75922775268555"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59.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published accounts for each member of the Group of Economic Operators 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Financial Viability Risk Assessment Tool 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51550292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8596191406"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the accounts.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20849609375" w:line="240" w:lineRule="auto"/>
        <w:ind w:left="0"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5"/>
        <w:tblW w:w="3891.43844604492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1.15675449371338" w:lineRule="auto"/>
              <w:ind w:left="-13.88427734375" w:right="688.0331420898438" w:firstLine="158.78028869628906"/>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 </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67.0106506347656" w:right="861.9738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32/79</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146"/>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8333740234375" w:firstLine="0"/>
              <w:jc w:val="right"/>
              <w:rPr>
                <w:rFonts w:ascii="Arial" w:cs="Arial" w:eastAsia="Arial" w:hAnsi="Arial"/>
                <w:b w:val="0"/>
                <w:i w:val="0"/>
                <w:smallCaps w:val="0"/>
                <w:strike w:val="0"/>
                <w:color w:val="616161"/>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616161"/>
                <w:sz w:val="22.82016372680664"/>
                <w:szCs w:val="22.82016372680664"/>
                <w:u w:val="none"/>
                <w:shd w:fill="auto" w:val="clear"/>
                <w:vertAlign w:val="baseline"/>
                <w:rtl w:val="0"/>
              </w:rPr>
              <w:t xml:space="preserve">No file selected</w:t>
            </w:r>
          </w:p>
        </w:tc>
      </w:tr>
    </w:tbl>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the parent company published accounts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910934448242188"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for each member 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 Viability Risk</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Assessment Tool 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your parent company has been in operation for less than 3 years please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provide all available accounts.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8686523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the parent company accounts for each member.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57617187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7"/>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523925781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able to provide the ultimate parent company published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9465026855468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accounts for each member as detailed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Attachment 3 Financial</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8.9287567138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Viability Risk Assessment Tool Instructions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451660156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your ultimate parent company has been in operation for less than 3 years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all available accounts.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7070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upload the ultimate parent company accounts for each member.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48"/>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0017700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33/79</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 intend to use a supply chain for this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contract.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0.0122070312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 are a new entrant (including a SPV (Special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Purpose Vehicle) or JV (Joint venture) set up solely for this contract,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 a Sole Trader) to the market (trading for less than 12 months).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5842285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7928466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341186523438"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you are able to provide your Companies House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number, to verify your response at question 54.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30.69915771484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fail to provide a response to this question, you will not be able to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2.9643249511718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progress with your DPS submission.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95256042480469"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34/79</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592773437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confirm your Company Registration number as applicable.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1513671875" w:line="242.75968551635742" w:lineRule="auto"/>
        <w:ind w:left="19.769439697265625" w:right="4330.7440185546875" w:firstLine="9.416351318359375"/>
        <w:jc w:val="left"/>
        <w:rPr>
          <w:rFonts w:ascii="Arial" w:cs="Arial" w:eastAsia="Arial" w:hAnsi="Arial"/>
          <w:b w:val="0"/>
          <w:i w:val="0"/>
          <w:smallCaps w:val="0"/>
          <w:strike w:val="0"/>
          <w:color w:val="6f777b"/>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6f777b"/>
          <w:sz w:val="16.814857482910156"/>
          <w:szCs w:val="16.814857482910156"/>
          <w:u w:val="none"/>
          <w:shd w:fill="auto" w:val="clear"/>
          <w:vertAlign w:val="baseline"/>
          <w:rtl w:val="0"/>
        </w:rPr>
        <w:t xml:space="preserve">Please note CCS will use your Companies Registration number, to undertake a compliance check via Companies House to verify your response at question 54. </w:t>
      </w:r>
    </w:p>
    <w:tbl>
      <w:tblPr>
        <w:tblStyle w:val="Table14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6f777b"/>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2.75968551635742" w:lineRule="auto"/>
        <w:ind w:left="17.415390014648438" w:right="5227.4114990234375" w:firstLine="1.8496704101562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 are bidding as a SPV (Special Purpose Vehicle), JV (Joint venture) set up solely for this DPS or as a Sole Trader.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60595703125" w:line="242.75968551635742" w:lineRule="auto"/>
        <w:ind w:left="22.964324951171875" w:right="4889.8004150390625" w:firstLine="7.734832763671875"/>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fail to provide a response to this question, you will not be able to progress with your DPS submission.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8.65844726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335205078125" w:line="242.75882720947266" w:lineRule="auto"/>
        <w:ind w:left="15.5657958984375" w:right="4893.515625" w:firstLine="13.619995117187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the date your SPV (Special Purpose Vehicle), JV (Joint venture) or Sole Trader status was set up.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74560546875" w:line="242.75882720947266" w:lineRule="auto"/>
        <w:ind w:left="20.946502685546875" w:right="4525.728759765625" w:firstLine="8.239288330078125"/>
        <w:jc w:val="left"/>
        <w:rPr>
          <w:rFonts w:ascii="Arial" w:cs="Arial" w:eastAsia="Arial" w:hAnsi="Arial"/>
          <w:b w:val="0"/>
          <w:i w:val="0"/>
          <w:smallCaps w:val="0"/>
          <w:strike w:val="0"/>
          <w:color w:val="6f777b"/>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6f777b"/>
          <w:sz w:val="16.814857482910156"/>
          <w:szCs w:val="16.814857482910156"/>
          <w:u w:val="none"/>
          <w:shd w:fill="auto" w:val="clear"/>
          <w:vertAlign w:val="baseline"/>
          <w:rtl w:val="0"/>
        </w:rPr>
        <w:t xml:space="preserve">Please note, if the date provided is not within the last 12 months you will be required to provide a response to questions 62-73 of this section as applicable.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Day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(DD) </w:t>
      </w:r>
    </w:p>
    <w:tbl>
      <w:tblPr>
        <w:tblStyle w:val="Table150"/>
        <w:tblW w:w="528.466949462890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Month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(MM) </w:t>
      </w:r>
    </w:p>
    <w:tbl>
      <w:tblPr>
        <w:tblStyle w:val="Table151"/>
        <w:tblW w:w="528.4669494628906" w:type="dxa"/>
        <w:jc w:val="left"/>
        <w:tblInd w:w="80.848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Year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(YYYY) </w:t>
      </w:r>
    </w:p>
    <w:tbl>
      <w:tblPr>
        <w:tblStyle w:val="Table152"/>
        <w:tblW w:w="696.6156005859375" w:type="dxa"/>
        <w:jc w:val="left"/>
        <w:tblInd w:w="161.697998046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6.6156005859375"/>
        <w:tblGridChange w:id="0">
          <w:tblGrid>
            <w:gridCol w:w="696.6156005859375"/>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07.5" w:top="386.6015625" w:left="867.0106506347656" w:right="8414.675903320312" w:header="0" w:footer="720"/>
          <w:cols w:equalWidth="0" w:num="3">
            <w:col w:space="0" w:w="880"/>
            <w:col w:space="0" w:w="880"/>
            <w:col w:space="0" w:w="880"/>
          </w:cols>
        </w:sectPr>
      </w:pPr>
      <w:r w:rsidDel="00000000" w:rsidR="00000000" w:rsidRPr="00000000">
        <w:rPr>
          <w:rtl w:val="0"/>
        </w:rPr>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that you have systems in place to ensure that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those in your supply chain are paid within your agreed contractual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terms.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5827636718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7517089843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RM6313 DPS.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9.538574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35/79</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53613281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you have procedures for resolving disputed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4.982070922851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invoices promptly and effectively with those in your supply chain.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26.663589477539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Not all payments involve an invoice. We advise that this includes situations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4.893188476562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where all payments are due.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536621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14843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RM6313 DPS.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57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803466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For all contracts entered into pursuant to a procurement carried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out under the PCR 2015, please confirm you include 30 day payment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terms in all of your sub-contracts (and you require your supply chain to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 so) on all such contracts.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645996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145385742187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RM6313 DPS.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6401367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1596679688"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803466796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 20</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22</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m</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NQC</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a</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Lt</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n</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d A</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ll Rig</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M</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hts R</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a</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es</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n</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erv</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a</w:t>
      </w:r>
      <w:r w:rsidDel="00000000" w:rsidR="00000000" w:rsidRPr="00000000">
        <w:rPr>
          <w:rFonts w:ascii="Arial" w:cs="Arial" w:eastAsia="Arial" w:hAnsi="Arial"/>
          <w:b w:val="0"/>
          <w:i w:val="0"/>
          <w:smallCaps w:val="0"/>
          <w:strike w:val="0"/>
          <w:color w:val="808080"/>
          <w:sz w:val="26.022993723551433"/>
          <w:szCs w:val="26.022993723551433"/>
          <w:u w:val="none"/>
          <w:shd w:fill="auto" w:val="clear"/>
          <w:vertAlign w:val="subscript"/>
          <w:rtl w:val="0"/>
        </w:rPr>
        <w:t xml:space="preserve">ed.</w:t>
      </w: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gement and Renewables </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36/79</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19.265060424804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69.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one of the following statements which apply to your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93759155273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89453125" w:line="240" w:lineRule="auto"/>
        <w:ind w:left="26.6635894775390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Not all payments involve an invoice. We advise that this includes situations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4.893188476562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where all payments are due.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04101562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95% or above of all supply chain invoices are paid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29.4761657714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 sixty (60) days in at least one of the two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90234375" w:line="240" w:lineRule="auto"/>
        <w:ind w:left="626.73767089843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previous six month reporting periods after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30.160675048828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removing intercompany payments;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5527343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90%-95% of all supply chain invoices are paid in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22.173614501953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sixty (60) days in at least one of the two previous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90234375" w:line="240" w:lineRule="auto"/>
        <w:ind w:left="622.173614501953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six month reporting periods after removing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29.4761657714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intercompany payments;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649169921875" w:line="240" w:lineRule="auto"/>
        <w:ind w:left="623.08654785156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90% or less of all supply chain invoices are paid in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622.173614501953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sixty (60) days in at least one of the two previous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2919921875" w:line="240" w:lineRule="auto"/>
        <w:ind w:left="622.1736145019531"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six month reporting periods after removing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629.4761657714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intercompany paymen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803466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the percentage of invoices paid by you to those in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immediate supply chain on all contracts within 60 days of the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receipt of the invoice in each of the last two six month periods. This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should include the percentage of invoices paid within each of the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6.9109344482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following categories. Please include the total volume of invoices in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20.6101989746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each category which should total 95% or above.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30810546875" w:line="240" w:lineRule="auto"/>
        <w:ind w:left="17.847747802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Within 30 days </w:t>
      </w:r>
    </w:p>
    <w:tbl>
      <w:tblPr>
        <w:tblStyle w:val="Table15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0017700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In 31 to 60 days </w:t>
      </w:r>
    </w:p>
    <w:tbl>
      <w:tblPr>
        <w:tblStyle w:val="Table15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25225830078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37/79</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the percentage of invoices paid by you to those in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immediate supply chain on all contracts within 60 days of the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receipt of the invoice in each of the last two six month periods. This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should include the percentage of invoices paid within each of the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9109344482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following categories. Please include the total volume of invoices in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6101989746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each category.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369140625" w:line="240" w:lineRule="auto"/>
        <w:ind w:left="17.847747802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Within 30 days </w:t>
      </w:r>
    </w:p>
    <w:tbl>
      <w:tblPr>
        <w:tblStyle w:val="Table15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0017700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In 31 to 60 days </w:t>
      </w:r>
    </w:p>
    <w:tbl>
      <w:tblPr>
        <w:tblStyle w:val="Table15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0017700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In 61 days or more </w:t>
      </w:r>
    </w:p>
    <w:tbl>
      <w:tblPr>
        <w:tblStyle w:val="Table15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Due but not paid by the last date for payment under agreed contractual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49658203125" w:line="240" w:lineRule="auto"/>
        <w:ind w:left="16.406478881835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terms </w:t>
      </w:r>
    </w:p>
    <w:tbl>
      <w:tblPr>
        <w:tblStyle w:val="Table158"/>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001770019531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It is acceptable to cross refer to information that has previously been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49658203125" w:line="240" w:lineRule="auto"/>
        <w:ind w:left="20.00968933105468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submitted to Government or is publicly available (provided it covers the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26.31523132324218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requested period), in which case, please provide details and/or insert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49658203125" w:line="240" w:lineRule="auto"/>
        <w:ind w:left="26.135101318359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link(s): </w:t>
      </w:r>
    </w:p>
    <w:tbl>
      <w:tblPr>
        <w:tblStyle w:val="Table159"/>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unable to demonstrate that all invoices have been paid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98291015625" w:line="240" w:lineRule="auto"/>
        <w:ind w:left="14.89318847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within the agreed contractual terms, please explain why.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388427734375" w:line="240" w:lineRule="auto"/>
        <w:ind w:left="30.69915771484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are required to submit an action plan under question 73, this action plan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65467834472656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must also set out steps to address your payment within agreed terms, in order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238327026367188"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to achieve a pass for question 73. </w:t>
      </w:r>
    </w:p>
    <w:tbl>
      <w:tblPr>
        <w:tblStyle w:val="Table160"/>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unable to demonstrate that 95% of invoices payable to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supply chain on all contracts have been paid within 60 days of the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receipt of the invoice in at least one of the last two (2) six (6) months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reporting periods, please upload in response to this question an action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plan for improvement which should include (as a minimum) the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16.9109344482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following.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941131591797" w:line="240" w:lineRule="auto"/>
        <w:ind w:left="30.69915771484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have an existing action plan prepared for a different purpose, it is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38/79</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9915771484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If you have an existing action plan prepared for a different purpose, it is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9465026855468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acceptable to attach this but it should contain the above features.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03.0990600585937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1. Identification of the primary causes of failure to pay: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393.2754516601562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a. 95% of all supply chain invoices within 60 days; and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395.29327392578125"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b. If relevant under question 67, all invoices within agreed terms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91.66496276855469"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2. Actions to address each of these causes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2.75968551635742" w:lineRule="auto"/>
        <w:ind w:left="323.22959899902344" w:right="4393.2366943359375" w:hanging="231.90093994140625"/>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3. A mechanism for and commitment to regular reporting on progress to the bidder's audit committee (or equivalent).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6845703125" w:line="240" w:lineRule="auto"/>
        <w:ind w:left="90.65605163574219"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4. Plan signed off by Director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91.83303833007812"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5. Plan published on its website (this can be shorter, summary plan).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5244140625" w:line="240" w:lineRule="auto"/>
        <w:ind w:left="16.226348876953125"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You may only upload a single file. </w:t>
      </w:r>
    </w:p>
    <w:tbl>
      <w:tblPr>
        <w:tblStyle w:val="Table161"/>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bidding as a Group of Economic Operators (GoEO),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that all members of your GoEO comply with the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responses you have provided in questions 62 - 73 of the DPSQ as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504394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applicable.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7070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provide full details to support this response in the text box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23.6128997802734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provided below: </w:t>
      </w:r>
    </w:p>
    <w:tbl>
      <w:tblPr>
        <w:tblStyle w:val="Table162"/>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Not Applicable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4803466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2.75922775268555"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'Product or Service'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Tick all that apply. </w:t>
      </w:r>
    </w:p>
    <w:tbl>
      <w:tblPr>
        <w:tblStyle w:val="Table163"/>
        <w:tblW w:w="420.37139892578125" w:type="dxa"/>
        <w:jc w:val="left"/>
        <w:tblInd w:w="115.229721069335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Automated Meter Readings (Smart Controls including MOP Services)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77099609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5804443359375" w:line="233.2400608062744"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71.8869781494141" w:right="1785.01770019531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RM6313 Marketplace will assess your credentials for specific contract opportunities during call for competitions.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16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97942733764648"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Bioenergy and energy from waste including Biomass boilers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509765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5855.7147216796875" w:header="0" w:footer="720"/>
          <w:cols w:equalWidth="0" w:num="2">
            <w:col w:space="0" w:w="2540"/>
            <w:col w:space="0" w:w="25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Building Management System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228332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39/79</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16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Carbon Capture and Storage (CCS) Carbon Offsetting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998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Energy Bureau Service (Bill validation)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Energy Efficiency in Buildings and Energy Performance Certificates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377441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Energy Storage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Demand Side Response (DSR)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30273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Generators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Geothermal technologies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Heat networks, space heating and domestic heating &amp; cooling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38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Heat Pumps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Hydrogen, fuel cell technologies and synthetic fuels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38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LED Lighting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Network Management </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Net Zero Strategy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7221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Solar Photovoltaic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Building Retrofit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Power Purchase Agreement - Professional Services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382019042969"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5597.5604248046875" w:header="0" w:footer="720"/>
          <w:cols w:equalWidth="0" w:num="2">
            <w:col w:space="0" w:w="2660"/>
            <w:col w:space="0" w:w="26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Transport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0330200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40/79</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18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568.800048828125" w:header="0" w:footer="720"/>
          <w:cols w:equalWidth="0" w:num="2">
            <w:col w:space="0" w:w="1180"/>
            <w:col w:space="0" w:w="11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Wind generation Policy Delivery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278808593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2.75968551635742"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'Automated Meter Readings (Smart Controls including MOP Services)'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tbl>
      <w:tblPr>
        <w:tblStyle w:val="Table187"/>
        <w:tblW w:w="420.37139892578125" w:type="dxa"/>
        <w:jc w:val="left"/>
        <w:tblInd w:w="115.229721069335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7099609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58349609375" w:line="233.2400608062744"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71.8869781494141" w:right="1785.01770019531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RM6313 Marketplace will assess your credentials for specific contract opportunities during call for competitions.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18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Installation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Purchase only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415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Decommissioning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75882720947266" w:lineRule="auto"/>
        <w:ind w:left="17.415390014648438" w:right="4926.2884521484375" w:firstLine="1.34521484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'Bioenergy and energy from waste including Biomass boilers '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19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4150390625"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Purchase only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869873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Decommissioning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7457275390625" w:line="240" w:lineRule="auto"/>
        <w:ind w:left="18.7606048583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'Building Management System'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41/79</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68551635742" w:lineRule="auto"/>
        <w:ind w:left="17.247238159179688" w:right="5031.4501953125" w:firstLine="1.5133666992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'Building Management System'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19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90039062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Purchase only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Decommissioning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30273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7548828125" w:line="242.75968551635742" w:lineRule="auto"/>
        <w:ind w:left="16.238327026367188" w:right="4925.7489013671875" w:firstLine="2.522277832031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79.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'Carbon Capture and Storage (CCS)'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0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415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75922775268555" w:lineRule="auto"/>
        <w:ind w:left="19.937591552734375" w:right="5624.930419921875" w:hanging="2.354049682617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'Carbon Offsetting'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1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144325256348"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4150390625"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42/79</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21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340.035400390625" w:header="0" w:footer="720"/>
          <w:cols w:equalWidth="0" w:num="2">
            <w:col w:space="0" w:w="1300"/>
            <w:col w:space="0" w:w="13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End to end service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5146484375" w:line="242.75968551635742" w:lineRule="auto"/>
        <w:ind w:left="19.601364135742188" w:right="5108.580322265625" w:hanging="2.0178222656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'Energy Bureau Service (Bill validation)'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1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371.89453125" w:header="0" w:footer="720"/>
          <w:cols w:equalWidth="0" w:num="2">
            <w:col w:space="0" w:w="2280"/>
            <w:col w:space="0" w:w="22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Energy Bureau Service (Bill validation)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7548828125" w:line="242.75968551635742" w:lineRule="auto"/>
        <w:ind w:left="22.964324951171875" w:right="5036.5557861328125" w:hanging="5.3807830810546875"/>
        <w:jc w:val="both"/>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'Energy Efficiency in Buildings and Energy Performance Certificates'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1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83935546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74267578125" w:line="242.75882720947266" w:lineRule="auto"/>
        <w:ind w:left="19.937591552734375" w:right="5757.047119140625" w:hanging="2.354049682617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'Energy Storage '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2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683.9144325256348"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0415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43395996094"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'Demand Side Response (DSR)'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43/79</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68551635742" w:lineRule="auto"/>
        <w:ind w:left="17.247238159179688" w:right="4983.4075927734375" w:firstLine="0.336303710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'Demand Side Response (DSR)'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3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998046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90039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7548828125" w:line="242.75968551635742" w:lineRule="auto"/>
        <w:ind w:left="20.946502685546875" w:right="5005.3192138671875" w:hanging="3.362960815429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'Generators'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3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3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83935546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524169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7457275390625" w:line="242.75922775268555" w:lineRule="auto"/>
        <w:ind w:left="19.937591552734375" w:right="4988.367919921875" w:hanging="2.354049682617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'Geothermal technologies '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4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76123046875" w:line="683.9144325256348"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Purchase only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44/79</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24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340.035400390625" w:header="0" w:footer="720"/>
          <w:cols w:equalWidth="0" w:num="2">
            <w:col w:space="0" w:w="1300"/>
            <w:col w:space="0" w:w="13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7548828125" w:line="242.75968551635742" w:lineRule="auto"/>
        <w:ind w:left="17.415390014648438" w:right="4931.8377685546875" w:firstLine="0.16815185546875"/>
        <w:jc w:val="both"/>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'Heat networks, space heating and domestic heating &amp; cooling '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4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80526161193848" w:lineRule="auto"/>
        <w:ind w:left="20.946502685546875" w:right="4921.2445068359375" w:hanging="3.362960815429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'Heat Pumps'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5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3310546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75922775268555" w:lineRule="auto"/>
        <w:ind w:left="17.415390014648438" w:right="5191.5283203125" w:firstLine="0.168151855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89.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'Hydrogen, fuel cell technologies and synthetic fuels '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5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7284.11376953125" w:header="0" w:footer="720"/>
          <w:cols w:equalWidth="0" w:num="2">
            <w:col w:space="0" w:w="1820"/>
            <w:col w:space="0" w:w="18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Feasability Study Installation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45/79</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26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642578125" w:line="242.7132511138916" w:lineRule="auto"/>
        <w:ind w:left="24.982070922851562" w:right="5010.8453369140625" w:hanging="6.38961791992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'LED Lighting'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6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7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Feasability Study Installation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80526161193848" w:lineRule="auto"/>
        <w:ind w:left="19.937591552734375" w:right="5300.643920898437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'Network Management'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7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039.9322509765625" w:header="0" w:footer="720"/>
          <w:cols w:equalWidth="0" w:num="2">
            <w:col w:space="0" w:w="1440"/>
            <w:col w:space="0" w:w="14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Network Management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80526161193848" w:lineRule="auto"/>
        <w:ind w:left="19.937591552734375" w:right="5600.90942382812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'Net Zero Strategy '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7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437.88330078125" w:header="0" w:footer="720"/>
          <w:cols w:equalWidth="0" w:num="2">
            <w:col w:space="0" w:w="1240"/>
            <w:col w:space="0" w:w="12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Net Zero Strategy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80569076538086" w:lineRule="auto"/>
        <w:ind w:left="19.937591552734375" w:right="5576.887817382812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'Solar Photovoltaic'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tbl>
      <w:tblPr>
        <w:tblStyle w:val="Table273"/>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830932617187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w:t>
      </w:r>
    </w:p>
    <w:tbl>
      <w:tblPr>
        <w:tblStyle w:val="Table274"/>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tl w:val="0"/>
              </w:rPr>
            </w:r>
          </w:p>
        </w:tc>
      </w:tr>
    </w:tbl>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7.341156005859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Installation </w:t>
      </w:r>
    </w:p>
    <w:tbl>
      <w:tblPr>
        <w:tblStyle w:val="Table275"/>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512939453125" w:firstLine="0"/>
              <w:jc w:val="righ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w:t>
            </w:r>
          </w:p>
        </w:tc>
      </w:tr>
    </w:tbl>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C</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td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A</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ic</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ll</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i</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gh</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ts</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es</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er</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v</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ed</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w:t>
      </w: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ance and Support </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46/79</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27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7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7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7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642578125" w:line="242.80614852905273" w:lineRule="auto"/>
        <w:ind w:left="19.937591552734375" w:right="5684.983520507812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'Building Retrofit '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8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75882720947266" w:lineRule="auto"/>
        <w:ind w:left="16.238327026367188" w:right="5065.41748046875" w:firstLine="2.35412597656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'Power Purchase Agreement - Professional Services'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8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94486618041992"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5969.11376953125" w:header="0" w:footer="720"/>
          <w:cols w:equalWidth="0" w:num="2">
            <w:col w:space="0" w:w="2480"/>
            <w:col w:space="0" w:w="24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Power Purchase Agreement - Professional Services </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56396484375" w:line="242.71270751953125" w:lineRule="auto"/>
        <w:ind w:left="20.946502685546875" w:right="5113.414306640625" w:hanging="2.3540496826171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'Transport'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8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295.04150390625" w:header="0" w:footer="720"/>
          <w:cols w:equalWidth="0" w:num="2">
            <w:col w:space="0" w:w="820"/>
            <w:col w:space="0" w:w="8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Transport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71282196044922" w:lineRule="auto"/>
        <w:ind w:left="19.937591552734375" w:right="5721.01562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'Wind generation'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8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880157470703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7360.4931640625" w:header="0" w:footer="720"/>
          <w:cols w:equalWidth="0" w:num="2">
            <w:col w:space="0" w:w="1780"/>
            <w:col w:space="0" w:w="178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Design and Feasibility Study Installation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50128173828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47/79</w:t>
      </w:r>
    </w:p>
    <w:tbl>
      <w:tblPr>
        <w:tblStyle w:val="Table290"/>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tl w:val="0"/>
        </w:rPr>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Servicing, Maintenance and Support Decommissioning </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Purchase only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593.9678955078125" w:header="0" w:footer="720"/>
          <w:cols w:equalWidth="0" w:num="2">
            <w:col w:space="0" w:w="2160"/>
            <w:col w:space="0" w:w="21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End to end service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642578125" w:line="242.80614852905273" w:lineRule="auto"/>
        <w:ind w:left="19.937591552734375" w:right="5841.1212158203125" w:hanging="1.34513854980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'Policy Delivery'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services that your organisation is able to provide. Tick all that apply.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29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Anaerobic Digestion Policy Delivery - District Heating </w:t>
      </w:r>
    </w:p>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941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Heat Pumps </w:t>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Heat Network </w:t>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Climate Change </w:t>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Electricity transmission and distribution systems </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741699218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Electric vehicle charging infrastructure </w:t>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3992919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Environmental Services Policy Delivery - Energy Financing </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Gas transmission and distribution systems </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71118164062" w:line="242.0136451721191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Hydroelectric and marine technologies (including wave and tidal) - OPEN FOR DISCUSSION </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3991394042969"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5438.7066650390625" w:header="0" w:footer="720"/>
          <w:cols w:equalWidth="0" w:num="2">
            <w:col w:space="0" w:w="2740"/>
            <w:col w:space="0" w:w="27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Industrial energy efficiency </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3064575195312"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48/79</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0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Innovative fossil fuel extraction technologies </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680664062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Innovative fossil fuel fired generation </w:t>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Nuclear Technologies </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Off-shore wind and the marine environment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398681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Onshore wind </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Petrochemical (upstream and downstream) </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47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Solar photo voltaic </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technologies </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2.0133018493652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5425.772705078125" w:header="0" w:footer="720"/>
          <w:cols w:equalWidth="0" w:num="2">
            <w:col w:space="0" w:w="2760"/>
            <w:col w:space="0" w:w="27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Policy Delivery - Technology, science and energy modelling </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4490966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80526161193848"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99.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United Kingdom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tbl>
      <w:tblPr>
        <w:tblStyle w:val="Table316"/>
        <w:tblW w:w="420.37139892578125" w:type="dxa"/>
        <w:jc w:val="left"/>
        <w:tblInd w:w="116.7430877685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West (England) </w:t>
      </w:r>
    </w:p>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67382812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186767578125" w:line="233.2508897781372"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70.3736114501953" w:right="1785.01770019531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RM6313 Marketplace will assess your credentials for specific contract opportunities during call for competitions. </w:t>
      </w:r>
    </w:p>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31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1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313125610352"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East (England) Yorkshire and The Humber East Midlands (England) West Midlands (England) East of England </w:t>
      </w:r>
    </w:p>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83935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7524.913330078125" w:header="0" w:footer="720"/>
          <w:cols w:equalWidth="0" w:num="2">
            <w:col w:space="0" w:w="1700"/>
            <w:col w:space="0" w:w="17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London </w:t>
      </w:r>
    </w:p>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49/79</w:t>
      </w:r>
    </w:p>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2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London </w:t>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1351699829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 East (England) South West (England) Scotland </w:t>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998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Wales </w:t>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031.42333984375" w:header="0" w:footer="720"/>
          <w:cols w:equalWidth="0" w:num="2">
            <w:col w:space="0" w:w="1460"/>
            <w:col w:space="0" w:w="14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Northern Ireland </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4418945312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2.7125358581543"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'international location(s)'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tbl>
      <w:tblPr>
        <w:tblStyle w:val="Table329"/>
        <w:tblW w:w="420.37139892578125" w:type="dxa"/>
        <w:jc w:val="left"/>
        <w:tblInd w:w="114.052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Africa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88037109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33.22921752929688"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73.06396484375" w:right="1785.01770019531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RM6313 Marketplace will assess your credentials for specific contract opportunities during call for competitions. </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33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3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3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3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3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Asia </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Europe </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North America Oceania </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733.570556640625" w:header="0" w:footer="720"/>
          <w:cols w:equalWidth="0" w:num="2">
            <w:col w:space="0" w:w="1100"/>
            <w:col w:space="0" w:w="11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 America </w:t>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3631591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2.8056907653808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'Africa'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tbl>
      <w:tblPr>
        <w:tblStyle w:val="Table335"/>
        <w:tblW w:w="420.37139892578125" w:type="dxa"/>
        <w:jc w:val="left"/>
        <w:tblInd w:w="114.052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Algeria </w:t>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667724609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1898193359375" w:line="233.25081825256348"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73.06396484375" w:right="1785.01770019531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RM6313 Marketplace will assess your credentials for specific contract opportunities during call for competitions. </w:t>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336"/>
        <w:tblW w:w="420.37139892578125" w:type="dxa"/>
        <w:jc w:val="left"/>
        <w:tblInd w:w="-4962.883300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5230" w:right="5230" w:header="0" w:footer="720"/>
          <w:cols w:equalWidth="0" w:num="2">
            <w:col w:space="0" w:w="720"/>
            <w:col w:space="0" w:w="7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Angola </w:t>
      </w:r>
    </w:p>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087707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50/79</w:t>
      </w:r>
    </w:p>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3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3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3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Benin </w:t>
      </w:r>
    </w:p>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Botswana </w:t>
      </w:r>
    </w:p>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Burkina </w:t>
      </w:r>
    </w:p>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Burundi </w:t>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Cameroon </w:t>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Cape Verde </w:t>
      </w:r>
    </w:p>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Central African Republic Chad </w:t>
      </w:r>
    </w:p>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Comoros </w:t>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Congo </w:t>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Congo, Democratic Republic of Djibouti </w:t>
      </w:r>
    </w:p>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Egypt </w:t>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Equatorial Guinea </w:t>
      </w:r>
    </w:p>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Eritrea </w:t>
      </w:r>
    </w:p>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Ethiopia </w:t>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Gabon </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Gambia </w:t>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7114.739990234375" w:header="0" w:footer="720"/>
          <w:cols w:equalWidth="0" w:num="2">
            <w:col w:space="0" w:w="1900"/>
            <w:col w:space="0" w:w="19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Ghana </w:t>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228332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51/79</w:t>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5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5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Guinea </w:t>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Guinea-Bissau </w:t>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Ivory Coast </w:t>
      </w:r>
    </w:p>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Kenya </w:t>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Lesotho </w:t>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Liberia </w:t>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Libya </w:t>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Madagascar </w:t>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Malawi </w:t>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Mali </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Mauritania </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Mauritius </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Morocco </w:t>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Mozambique </w:t>
      </w:r>
    </w:p>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Namibia </w:t>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Niger </w:t>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Nigeria </w:t>
      </w:r>
    </w:p>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Rwanda </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7846.0986328125" w:header="0" w:footer="720"/>
          <w:cols w:equalWidth="0" w:num="2">
            <w:col w:space="0" w:w="1540"/>
            <w:col w:space="0" w:w="15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Sao Tome and Principe </w:t>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5.212707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52/79</w:t>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7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Senegal </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Seychelles Sierra Leone Somalia </w:t>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9414062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South Africa South Sudan Sudan </w:t>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Swaziland Tanzania </w:t>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Togo </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Tunisia </w:t>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Uganda </w:t>
      </w:r>
    </w:p>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Zambia </w:t>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910.16357421875" w:header="0" w:footer="720"/>
          <w:cols w:equalWidth="0" w:num="2">
            <w:col w:space="0" w:w="1020"/>
            <w:col w:space="0" w:w="10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Zimbabwe </w:t>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51025390625" w:line="242.80569076538086" w:lineRule="auto"/>
        <w:ind w:left="19.937591552734375" w:right="5636.7529296875" w:firstLine="5.38078308105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'Asia'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38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Afghanistan Bahrain </w:t>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76123046875" w:line="683.8801574707031"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024.639892578125" w:header="0" w:footer="720"/>
          <w:cols w:equalWidth="0" w:num="2">
            <w:col w:space="0" w:w="960"/>
            <w:col w:space="0" w:w="9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Bangladesh Bhutan </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53/79</w:t>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39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9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Brunei </w:t>
      </w:r>
    </w:p>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Burma (Myanmar) Cambodia </w:t>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China </w:t>
      </w:r>
    </w:p>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East Timor </w:t>
      </w:r>
    </w:p>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India </w:t>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Indonesia </w:t>
      </w:r>
    </w:p>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Iran </w:t>
      </w:r>
    </w:p>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Iraq </w:t>
      </w:r>
    </w:p>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Israel </w:t>
      </w:r>
    </w:p>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Japan </w:t>
      </w:r>
    </w:p>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Jordan </w:t>
      </w:r>
    </w:p>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Kazakhstan </w:t>
      </w:r>
    </w:p>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Korea, North </w:t>
      </w:r>
    </w:p>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Korea, South </w:t>
      </w:r>
    </w:p>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Kuwait </w:t>
      </w:r>
    </w:p>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Kyrgyzstan </w:t>
      </w:r>
    </w:p>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Laos </w:t>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425.709228515625" w:header="0" w:footer="720"/>
          <w:cols w:equalWidth="0" w:num="2">
            <w:col w:space="0" w:w="1260"/>
            <w:col w:space="0" w:w="12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Lebanon </w:t>
      </w:r>
    </w:p>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103332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54/79</w:t>
      </w:r>
    </w:p>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41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Malaysia </w:t>
      </w:r>
    </w:p>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Maldives </w:t>
      </w:r>
    </w:p>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Mongolia </w:t>
      </w:r>
    </w:p>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Nepal </w:t>
      </w:r>
    </w:p>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Oman </w:t>
      </w:r>
    </w:p>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Pakistan </w:t>
      </w:r>
    </w:p>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Philippines </w:t>
      </w:r>
    </w:p>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Qatar </w:t>
      </w:r>
    </w:p>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879299163818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Russian Federation Saudi Arabia </w:t>
      </w:r>
    </w:p>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Singapore </w:t>
      </w:r>
    </w:p>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Sri Lanka </w:t>
      </w:r>
    </w:p>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Syria </w:t>
      </w:r>
    </w:p>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Tajikistan </w:t>
      </w:r>
    </w:p>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Thailand </w:t>
      </w:r>
    </w:p>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Turkey </w:t>
      </w:r>
    </w:p>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Turkmenistan </w:t>
      </w:r>
    </w:p>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070.621337890625" w:header="0" w:footer="720"/>
          <w:cols w:equalWidth="0" w:num="2">
            <w:col w:space="0" w:w="1440"/>
            <w:col w:space="0" w:w="14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United Arab Emirates Uzbekistan </w:t>
      </w:r>
    </w:p>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55/79</w:t>
      </w:r>
    </w:p>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43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351.776123046875" w:header="0" w:footer="720"/>
          <w:cols w:equalWidth="0" w:num="2">
            <w:col w:space="0" w:w="800"/>
            <w:col w:space="0" w:w="8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Vietnam Yemen </w:t>
      </w:r>
    </w:p>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1240234375" w:line="242.7132511138916" w:lineRule="auto"/>
        <w:ind w:left="19.937591552734375" w:right="5408.5516357421875" w:firstLine="5.38078308105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'Europe'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3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3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Albania </w:t>
      </w:r>
    </w:p>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Andorra </w:t>
      </w:r>
    </w:p>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Armenia </w:t>
      </w:r>
    </w:p>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Austria </w:t>
      </w:r>
    </w:p>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Azerbaijan </w:t>
      </w:r>
    </w:p>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Belarus </w:t>
      </w:r>
    </w:p>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Belgium </w:t>
      </w:r>
    </w:p>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Bosnia and Herzegovina Bulgaria </w:t>
      </w:r>
    </w:p>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Croatia </w:t>
      </w:r>
    </w:p>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Cyprus </w:t>
      </w:r>
    </w:p>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Czech Republic </w:t>
      </w:r>
    </w:p>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Denmark </w:t>
      </w:r>
    </w:p>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Estonia </w:t>
      </w:r>
    </w:p>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Finland </w:t>
      </w:r>
    </w:p>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7744.383544921875" w:header="0" w:footer="720"/>
          <w:cols w:equalWidth="0" w:num="2">
            <w:col w:space="0" w:w="1600"/>
            <w:col w:space="0" w:w="16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France </w:t>
      </w:r>
    </w:p>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150207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56/79</w:t>
      </w:r>
    </w:p>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44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Georgia </w:t>
      </w:r>
    </w:p>
    <w:p w:rsidR="00000000" w:rsidDel="00000000" w:rsidP="00000000" w:rsidRDefault="00000000" w:rsidRPr="00000000" w14:paraId="00000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Germany </w:t>
      </w:r>
    </w:p>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Greece </w:t>
      </w:r>
    </w:p>
    <w:p w:rsidR="00000000" w:rsidDel="00000000" w:rsidP="00000000" w:rsidRDefault="00000000" w:rsidRPr="00000000" w14:paraId="00000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Hungary </w:t>
      </w:r>
    </w:p>
    <w:p w:rsidR="00000000" w:rsidDel="00000000" w:rsidP="00000000" w:rsidRDefault="00000000" w:rsidRPr="00000000" w14:paraId="00000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Iceland </w:t>
      </w:r>
    </w:p>
    <w:p w:rsidR="00000000" w:rsidDel="00000000" w:rsidP="00000000" w:rsidRDefault="00000000" w:rsidRPr="00000000" w14:paraId="00000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Ireland </w:t>
      </w:r>
    </w:p>
    <w:p w:rsidR="00000000" w:rsidDel="00000000" w:rsidP="00000000" w:rsidRDefault="00000000" w:rsidRPr="00000000" w14:paraId="00000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Italy </w:t>
      </w:r>
    </w:p>
    <w:p w:rsidR="00000000" w:rsidDel="00000000" w:rsidP="00000000" w:rsidRDefault="00000000" w:rsidRPr="00000000" w14:paraId="00000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Latvia </w:t>
      </w:r>
    </w:p>
    <w:p w:rsidR="00000000" w:rsidDel="00000000" w:rsidP="00000000" w:rsidRDefault="00000000" w:rsidRPr="00000000" w14:paraId="00000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Liechtenstein Lithuania </w:t>
      </w:r>
    </w:p>
    <w:p w:rsidR="00000000" w:rsidDel="00000000" w:rsidP="00000000" w:rsidRDefault="00000000" w:rsidRPr="00000000" w14:paraId="00000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Luxembourg Macedonia Malta </w:t>
      </w:r>
    </w:p>
    <w:p w:rsidR="00000000" w:rsidDel="00000000" w:rsidP="00000000" w:rsidRDefault="00000000" w:rsidRPr="00000000" w14:paraId="00000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Moldova </w:t>
      </w:r>
    </w:p>
    <w:p w:rsidR="00000000" w:rsidDel="00000000" w:rsidP="00000000" w:rsidRDefault="00000000" w:rsidRPr="00000000" w14:paraId="00000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Monaco </w:t>
      </w:r>
    </w:p>
    <w:p w:rsidR="00000000" w:rsidDel="00000000" w:rsidP="00000000" w:rsidRDefault="00000000" w:rsidRPr="00000000" w14:paraId="00000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Montenegro Netherlands Norway </w:t>
      </w:r>
    </w:p>
    <w:p w:rsidR="00000000" w:rsidDel="00000000" w:rsidP="00000000" w:rsidRDefault="00000000" w:rsidRPr="00000000" w14:paraId="00000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76123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885.391845703125" w:header="0" w:footer="720"/>
          <w:cols w:equalWidth="0" w:num="2">
            <w:col w:space="0" w:w="1020"/>
            <w:col w:space="0" w:w="10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Poland </w:t>
      </w:r>
    </w:p>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134582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57/79</w:t>
      </w:r>
    </w:p>
    <w:p w:rsidR="00000000" w:rsidDel="00000000" w:rsidP="00000000" w:rsidRDefault="00000000" w:rsidRPr="00000000" w14:paraId="00000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46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7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Portugal </w:t>
      </w:r>
    </w:p>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Romania San Marino Serbia </w:t>
      </w:r>
    </w:p>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Slovakia </w:t>
      </w:r>
    </w:p>
    <w:p w:rsidR="00000000" w:rsidDel="00000000" w:rsidP="00000000" w:rsidRDefault="00000000" w:rsidRPr="00000000" w14:paraId="00000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Slovenia </w:t>
      </w:r>
    </w:p>
    <w:p w:rsidR="00000000" w:rsidDel="00000000" w:rsidP="00000000" w:rsidRDefault="00000000" w:rsidRPr="00000000" w14:paraId="00000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Spain </w:t>
      </w:r>
    </w:p>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Sweden </w:t>
      </w:r>
    </w:p>
    <w:p w:rsidR="00000000" w:rsidDel="00000000" w:rsidP="00000000" w:rsidRDefault="00000000" w:rsidRPr="00000000" w14:paraId="00000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Switzerland Ukraine </w:t>
      </w:r>
    </w:p>
    <w:p w:rsidR="00000000" w:rsidDel="00000000" w:rsidP="00000000" w:rsidRDefault="00000000" w:rsidRPr="00000000" w14:paraId="00000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021.148681640625" w:header="0" w:footer="720"/>
          <w:cols w:equalWidth="0" w:num="2">
            <w:col w:space="0" w:w="960"/>
            <w:col w:space="0" w:w="9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Vatican City </w:t>
      </w:r>
    </w:p>
    <w:p w:rsidR="00000000" w:rsidDel="00000000" w:rsidP="00000000" w:rsidRDefault="00000000" w:rsidRPr="00000000" w14:paraId="00000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80526161193848" w:lineRule="auto"/>
        <w:ind w:left="17.247238159179688" w:right="5168.85986328125" w:firstLine="8.07113647460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'North America'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47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Antigua and Barbuda Bahamas </w:t>
      </w:r>
    </w:p>
    <w:p w:rsidR="00000000" w:rsidDel="00000000" w:rsidP="00000000" w:rsidRDefault="00000000" w:rsidRPr="00000000" w14:paraId="00000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8066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Barbados </w:t>
      </w:r>
    </w:p>
    <w:p w:rsidR="00000000" w:rsidDel="00000000" w:rsidP="00000000" w:rsidRDefault="00000000" w:rsidRPr="00000000" w14:paraId="00000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Belize </w:t>
      </w:r>
    </w:p>
    <w:p w:rsidR="00000000" w:rsidDel="00000000" w:rsidP="00000000" w:rsidRDefault="00000000" w:rsidRPr="00000000" w14:paraId="00000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Canada </w:t>
      </w:r>
    </w:p>
    <w:p w:rsidR="00000000" w:rsidDel="00000000" w:rsidP="00000000" w:rsidRDefault="00000000" w:rsidRPr="00000000" w14:paraId="00000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Costa Rica </w:t>
      </w:r>
    </w:p>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086.123046875" w:header="0" w:footer="720"/>
          <w:cols w:equalWidth="0" w:num="2">
            <w:col w:space="0" w:w="1420"/>
            <w:col w:space="0" w:w="14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Cuba </w:t>
      </w:r>
    </w:p>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627075195312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58/79</w:t>
      </w:r>
    </w:p>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48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Dominica </w:t>
      </w:r>
    </w:p>
    <w:p w:rsidR="00000000" w:rsidDel="00000000" w:rsidP="00000000" w:rsidRDefault="00000000" w:rsidRPr="00000000" w14:paraId="00000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Dominican Republic </w:t>
      </w:r>
    </w:p>
    <w:p w:rsidR="00000000" w:rsidDel="00000000" w:rsidP="00000000" w:rsidRDefault="00000000" w:rsidRPr="00000000" w14:paraId="00000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964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El Salvador </w:t>
      </w:r>
    </w:p>
    <w:p w:rsidR="00000000" w:rsidDel="00000000" w:rsidP="00000000" w:rsidRDefault="00000000" w:rsidRPr="00000000" w14:paraId="00000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Grenada </w:t>
      </w:r>
    </w:p>
    <w:p w:rsidR="00000000" w:rsidDel="00000000" w:rsidP="00000000" w:rsidRDefault="00000000" w:rsidRPr="00000000" w14:paraId="00000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Guatemala </w:t>
      </w:r>
    </w:p>
    <w:p w:rsidR="00000000" w:rsidDel="00000000" w:rsidP="00000000" w:rsidRDefault="00000000" w:rsidRPr="00000000" w14:paraId="00000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Haiti </w:t>
      </w:r>
    </w:p>
    <w:p w:rsidR="00000000" w:rsidDel="00000000" w:rsidP="00000000" w:rsidRDefault="00000000" w:rsidRPr="00000000" w14:paraId="00000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Honduras </w:t>
      </w:r>
    </w:p>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Jamaica </w:t>
      </w:r>
    </w:p>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354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Mexico </w:t>
      </w:r>
    </w:p>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Nicaragua </w:t>
      </w:r>
    </w:p>
    <w:p w:rsidR="00000000" w:rsidDel="00000000" w:rsidP="00000000" w:rsidRDefault="00000000" w:rsidRPr="00000000" w14:paraId="00000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Panama </w:t>
      </w:r>
    </w:p>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Saint Kitts and Nevis </w:t>
      </w:r>
    </w:p>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Saint Lucia </w:t>
      </w:r>
    </w:p>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683.8795280456543"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Saint Vincent and the Grenadines Trinidad and Tobago </w:t>
      </w:r>
    </w:p>
    <w:p w:rsidR="00000000" w:rsidDel="00000000" w:rsidP="00000000" w:rsidRDefault="00000000" w:rsidRPr="00000000" w14:paraId="00000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3276367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6826.7718505859375" w:header="0" w:footer="720"/>
          <w:cols w:equalWidth="0" w:num="2">
            <w:col w:space="0" w:w="2060"/>
            <w:col w:space="0" w:w="206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United States </w:t>
      </w:r>
    </w:p>
    <w:p w:rsidR="00000000" w:rsidDel="00000000" w:rsidP="00000000" w:rsidRDefault="00000000" w:rsidRPr="00000000" w14:paraId="00000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41363525390625" w:line="242.71282196044922" w:lineRule="auto"/>
        <w:ind w:left="19.937591552734375" w:right="5336.488037109375" w:firstLine="5.380783081054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'Oceania'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0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342.3583984375" w:header="0" w:footer="720"/>
          <w:cols w:equalWidth="0" w:num="2">
            <w:col w:space="0" w:w="800"/>
            <w:col w:space="0" w:w="8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Australia Fiji </w:t>
      </w:r>
    </w:p>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59/79</w:t>
      </w:r>
    </w:p>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0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Kiribati </w:t>
      </w:r>
    </w:p>
    <w:p w:rsidR="00000000" w:rsidDel="00000000" w:rsidP="00000000" w:rsidRDefault="00000000" w:rsidRPr="00000000" w14:paraId="00000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Marshall Islands Micronesia </w:t>
      </w:r>
    </w:p>
    <w:p w:rsidR="00000000" w:rsidDel="00000000" w:rsidP="00000000" w:rsidRDefault="00000000" w:rsidRPr="00000000" w14:paraId="00000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9414062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Nauru </w:t>
      </w:r>
    </w:p>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New Zealand </w:t>
      </w:r>
    </w:p>
    <w:p w:rsidR="00000000" w:rsidDel="00000000" w:rsidP="00000000" w:rsidRDefault="00000000" w:rsidRPr="00000000" w14:paraId="00000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Palau </w:t>
      </w:r>
    </w:p>
    <w:p w:rsidR="00000000" w:rsidDel="00000000" w:rsidP="00000000" w:rsidRDefault="00000000" w:rsidRPr="00000000" w14:paraId="00000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2089843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Papua New Guinea Samoa </w:t>
      </w:r>
    </w:p>
    <w:p w:rsidR="00000000" w:rsidDel="00000000" w:rsidP="00000000" w:rsidRDefault="00000000" w:rsidRPr="00000000" w14:paraId="00000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331054687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Solomon Islands Tonga </w:t>
      </w:r>
    </w:p>
    <w:p w:rsidR="00000000" w:rsidDel="00000000" w:rsidP="00000000" w:rsidRDefault="00000000" w:rsidRPr="00000000" w14:paraId="00000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45605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Tuvalu </w:t>
      </w:r>
    </w:p>
    <w:p w:rsidR="00000000" w:rsidDel="00000000" w:rsidP="00000000" w:rsidRDefault="00000000" w:rsidRPr="00000000" w14:paraId="00000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4794921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8251.456909179688" w:header="0" w:footer="720"/>
          <w:cols w:equalWidth="0" w:num="2">
            <w:col w:space="0" w:w="1340"/>
            <w:col w:space="0" w:w="13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Vanuatu </w:t>
      </w:r>
    </w:p>
    <w:p w:rsidR="00000000" w:rsidDel="00000000" w:rsidP="00000000" w:rsidRDefault="00000000" w:rsidRPr="00000000" w14:paraId="00000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335205078125" w:line="242.80526161193848" w:lineRule="auto"/>
        <w:ind w:left="17.247238159179688" w:right="5144.8382568359375" w:firstLine="8.0711364746093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location(s) within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'South America'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Tick all that apply. </w:t>
      </w:r>
    </w:p>
    <w:p w:rsidR="00000000" w:rsidDel="00000000" w:rsidP="00000000" w:rsidRDefault="00000000" w:rsidRPr="00000000" w14:paraId="00000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51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19"/>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9637145996"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Argentina Bolivia </w:t>
      </w:r>
    </w:p>
    <w:p w:rsidR="00000000" w:rsidDel="00000000" w:rsidP="00000000" w:rsidRDefault="00000000" w:rsidRPr="00000000" w14:paraId="00000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6776123046875"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Brazil </w:t>
      </w:r>
    </w:p>
    <w:p w:rsidR="00000000" w:rsidDel="00000000" w:rsidP="00000000" w:rsidRDefault="00000000" w:rsidRPr="00000000" w14:paraId="00000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136596679688"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Chile </w:t>
      </w:r>
    </w:p>
    <w:p w:rsidR="00000000" w:rsidDel="00000000" w:rsidP="00000000" w:rsidRDefault="00000000" w:rsidRPr="00000000" w14:paraId="00000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917846679688" w:line="683.9486503601074"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253.217163085938" w:header="0" w:footer="720"/>
          <w:cols w:equalWidth="0" w:num="2">
            <w:col w:space="0" w:w="840"/>
            <w:col w:space="0" w:w="8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Colombia Ecuador </w:t>
      </w:r>
    </w:p>
    <w:p w:rsidR="00000000" w:rsidDel="00000000" w:rsidP="00000000" w:rsidRDefault="00000000" w:rsidRPr="00000000" w14:paraId="00000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w:t>
      </w:r>
      <w:r w:rsidDel="00000000" w:rsidR="00000000" w:rsidRPr="00000000">
        <w:rPr>
          <w:rFonts w:ascii="Arial" w:cs="Arial" w:eastAsia="Arial" w:hAnsi="Arial"/>
          <w:b w:val="0"/>
          <w:i w:val="0"/>
          <w:smallCaps w:val="0"/>
          <w:strike w:val="1"/>
          <w:color w:val="808080"/>
          <w:sz w:val="15.61379623413086"/>
          <w:szCs w:val="15.61379623413086"/>
          <w:u w:val="none"/>
          <w:shd w:fill="auto" w:val="clear"/>
          <w:vertAlign w:val="baseline"/>
          <w:rtl w:val="0"/>
        </w:rPr>
        <w:t xml:space="preserve"> 2022 N</w:t>
      </w: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QC Ltd All Rights Reserved. 60/79</w:t>
      </w:r>
    </w:p>
    <w:p w:rsidR="00000000" w:rsidDel="00000000" w:rsidP="00000000" w:rsidRDefault="00000000" w:rsidRPr="00000000" w14:paraId="00000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2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4"/>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6"/>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7"/>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8"/>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Guyana Paraguay Peru </w:t>
      </w:r>
    </w:p>
    <w:p w:rsidR="00000000" w:rsidDel="00000000" w:rsidP="00000000" w:rsidRDefault="00000000" w:rsidRPr="00000000" w14:paraId="00000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8994140625"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151.502075195312" w:header="0" w:footer="720"/>
          <w:cols w:equalWidth="0" w:num="2">
            <w:col w:space="0" w:w="900"/>
            <w:col w:space="0" w:w="9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Suriname Uruguay Venezuela </w:t>
      </w:r>
    </w:p>
    <w:p w:rsidR="00000000" w:rsidDel="00000000" w:rsidP="00000000" w:rsidRDefault="00000000" w:rsidRPr="00000000" w14:paraId="00000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17871093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71236419677734"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select the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Project Value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which your organisation is able to provide services within. Tick all that apply. </w:t>
      </w:r>
    </w:p>
    <w:tbl>
      <w:tblPr>
        <w:tblStyle w:val="Table529"/>
        <w:tblW w:w="420.37139892578125" w:type="dxa"/>
        <w:jc w:val="left"/>
        <w:tblInd w:w="113.0438232421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£0 - £499,999 </w:t>
      </w:r>
    </w:p>
    <w:p w:rsidR="00000000" w:rsidDel="00000000" w:rsidP="00000000" w:rsidRDefault="00000000" w:rsidRPr="00000000" w14:paraId="00000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89257812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33.22921752929688"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74.0728759765625" w:right="1785.01770019531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are advised to select only the relevant criteria to your organisation. Buyers using the RM6313 Marketplace will assess your credentials for specific contract opportunities during call for competitions. </w:t>
      </w:r>
    </w:p>
    <w:p w:rsidR="00000000" w:rsidDel="00000000" w:rsidP="00000000" w:rsidRDefault="00000000" w:rsidRPr="00000000" w14:paraId="00000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bl>
      <w:tblPr>
        <w:tblStyle w:val="Table53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tl w:val="0"/>
              </w:rPr>
            </w:r>
          </w:p>
        </w:tc>
      </w:tr>
    </w:tbl>
    <w:p w:rsidR="00000000" w:rsidDel="00000000" w:rsidP="00000000" w:rsidRDefault="00000000" w:rsidRPr="00000000" w14:paraId="00000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1"/>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3"/>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83.9477348327637"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7743.258056640625" w:header="0" w:footer="720"/>
          <w:cols w:equalWidth="0" w:num="2">
            <w:col w:space="0" w:w="1600"/>
            <w:col w:space="0" w:w="160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£500,000 - £1,999,999 £2,000,000 - £4,999,999 £5,000,000 - £9,999,999 £10,000,000 or above </w:t>
      </w:r>
    </w:p>
    <w:p w:rsidR="00000000" w:rsidDel="00000000" w:rsidP="00000000" w:rsidRDefault="00000000" w:rsidRPr="00000000" w14:paraId="00000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23944091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731811523438"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 will be supporting apprenticeships and </w:t>
      </w:r>
    </w:p>
    <w:p w:rsidR="00000000" w:rsidDel="00000000" w:rsidP="00000000" w:rsidRDefault="00000000" w:rsidRPr="00000000" w14:paraId="00000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skills development through this contract. </w:t>
      </w:r>
    </w:p>
    <w:p w:rsidR="00000000" w:rsidDel="00000000" w:rsidP="00000000" w:rsidRDefault="00000000" w:rsidRPr="00000000" w14:paraId="00000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5827636718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for supporting apprenticeships </w:t>
      </w:r>
    </w:p>
    <w:p w:rsidR="00000000" w:rsidDel="00000000" w:rsidP="00000000" w:rsidRDefault="00000000" w:rsidRPr="00000000" w14:paraId="00000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751708984375" w:line="240" w:lineRule="auto"/>
        <w:ind w:left="425.5359649658203"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Public procurement of contracts with a full life value of £10 million and </w:t>
      </w:r>
    </w:p>
    <w:p w:rsidR="00000000" w:rsidDel="00000000" w:rsidP="00000000" w:rsidRDefault="00000000" w:rsidRPr="00000000" w14:paraId="00000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417.296676635742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above and duration of 12 months and above should be used to </w:t>
      </w:r>
    </w:p>
    <w:p w:rsidR="00000000" w:rsidDel="00000000" w:rsidP="00000000" w:rsidRDefault="00000000" w:rsidRPr="00000000" w14:paraId="00000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415.95153808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support skills development and delivery of the apprenticeship </w:t>
      </w:r>
    </w:p>
    <w:p w:rsidR="00000000" w:rsidDel="00000000" w:rsidP="00000000" w:rsidRDefault="00000000" w:rsidRPr="00000000" w14:paraId="00000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415.4470825195312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commitment. This policy is set out in detail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Policy Procurement Note</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427.385559082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14/15</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w:t>
      </w:r>
    </w:p>
    <w:p w:rsidR="00000000" w:rsidDel="00000000" w:rsidP="00000000" w:rsidRDefault="00000000" w:rsidRPr="00000000" w14:paraId="00000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038574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61/79</w:t>
      </w:r>
    </w:p>
    <w:p w:rsidR="00000000" w:rsidDel="00000000" w:rsidP="00000000" w:rsidRDefault="00000000" w:rsidRPr="00000000" w14:paraId="00000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109.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requested, can you provide evidence of your commitment to </w:t>
      </w:r>
    </w:p>
    <w:p w:rsidR="00000000" w:rsidDel="00000000" w:rsidP="00000000" w:rsidRDefault="00000000" w:rsidRPr="00000000" w14:paraId="00000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supporting apprenticeships and skills development? </w:t>
      </w:r>
    </w:p>
    <w:p w:rsidR="00000000" w:rsidDel="00000000" w:rsidP="00000000" w:rsidRDefault="00000000" w:rsidRPr="00000000" w14:paraId="00000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3940429687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 you have a process in place to ensure that your supply chain </w:t>
      </w:r>
    </w:p>
    <w:p w:rsidR="00000000" w:rsidDel="00000000" w:rsidP="00000000" w:rsidRDefault="00000000" w:rsidRPr="00000000" w14:paraId="00000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supports skills, development and apprenticeships in line with PPN </w:t>
      </w:r>
    </w:p>
    <w:p w:rsidR="00000000" w:rsidDel="00000000" w:rsidP="00000000" w:rsidRDefault="00000000" w:rsidRPr="00000000" w14:paraId="00000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31.03546142578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14/15 and can provide evidence if requested? </w:t>
      </w:r>
    </w:p>
    <w:p w:rsidR="00000000" w:rsidDel="00000000" w:rsidP="00000000" w:rsidRDefault="00000000" w:rsidRPr="00000000" w14:paraId="00000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552246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Procurement Policy Note 14/15 </w:t>
      </w:r>
    </w:p>
    <w:p w:rsidR="00000000" w:rsidDel="00000000" w:rsidP="00000000" w:rsidRDefault="00000000" w:rsidRPr="00000000" w14:paraId="00000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751708984375" w:line="240" w:lineRule="auto"/>
        <w:ind w:left="425.5359649658203"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Procurement Policy Note 14/15 - Supporting Apprenticeships and</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418.3055877685547"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Skills Through Public Procurement.</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57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5194091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Under this Dynamic Purchasing System, Wider Public Sector </w:t>
      </w:r>
    </w:p>
    <w:p w:rsidR="00000000" w:rsidDel="00000000" w:rsidP="00000000" w:rsidRDefault="00000000" w:rsidRPr="00000000" w14:paraId="00000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Customers running a Call For Competition may wish to evaluate </w:t>
      </w:r>
    </w:p>
    <w:p w:rsidR="00000000" w:rsidDel="00000000" w:rsidP="00000000" w:rsidRDefault="00000000" w:rsidRPr="00000000" w14:paraId="00000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Social Value relevant to the delivery of Goods and/or Services to be </w:t>
      </w:r>
    </w:p>
    <w:p w:rsidR="00000000" w:rsidDel="00000000" w:rsidP="00000000" w:rsidRDefault="00000000" w:rsidRPr="00000000" w14:paraId="00000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delivered under the contract being tendered. </w:t>
      </w:r>
    </w:p>
    <w:p w:rsidR="00000000" w:rsidDel="00000000" w:rsidP="00000000" w:rsidRDefault="00000000" w:rsidRPr="00000000" w14:paraId="00000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addition, Central Government / Contracting Authorities in scope of </w:t>
      </w:r>
    </w:p>
    <w:p w:rsidR="00000000" w:rsidDel="00000000" w:rsidP="00000000" w:rsidRDefault="00000000" w:rsidRPr="00000000" w14:paraId="00000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PPN 6/20 'Taking Account of Social Value in the Award of Central </w:t>
      </w:r>
    </w:p>
    <w:p w:rsidR="00000000" w:rsidDel="00000000" w:rsidP="00000000" w:rsidRDefault="00000000" w:rsidRPr="00000000" w14:paraId="00000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1.28280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Government Contracts' will have to evaluate Suppliers by </w:t>
      </w:r>
    </w:p>
    <w:p w:rsidR="00000000" w:rsidDel="00000000" w:rsidP="00000000" w:rsidRDefault="00000000" w:rsidRPr="00000000" w14:paraId="00000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4.982070922851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incorporating any of the Social Value Policy Outcomes or Themes as </w:t>
      </w:r>
    </w:p>
    <w:p w:rsidR="00000000" w:rsidDel="00000000" w:rsidP="00000000" w:rsidRDefault="00000000" w:rsidRPr="00000000" w14:paraId="00000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set out in the Social Value Model of PPN 6/20 in their award criteria. </w:t>
      </w:r>
    </w:p>
    <w:p w:rsidR="00000000" w:rsidDel="00000000" w:rsidP="00000000" w:rsidRDefault="00000000" w:rsidRPr="00000000" w14:paraId="00000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Does your organisation including all Key Subcontractors commit to the </w:t>
      </w:r>
    </w:p>
    <w:p w:rsidR="00000000" w:rsidDel="00000000" w:rsidP="00000000" w:rsidRDefault="00000000" w:rsidRPr="00000000" w14:paraId="00000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provision of social value initiatives where requested by a Contracting </w:t>
      </w:r>
    </w:p>
    <w:p w:rsidR="00000000" w:rsidDel="00000000" w:rsidP="00000000" w:rsidRDefault="00000000" w:rsidRPr="00000000" w14:paraId="00000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Authority under any resultant contract placed under this Dynamic </w:t>
      </w:r>
    </w:p>
    <w:p w:rsidR="00000000" w:rsidDel="00000000" w:rsidP="00000000" w:rsidRDefault="00000000" w:rsidRPr="00000000" w14:paraId="00000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62/79</w:t>
      </w:r>
    </w:p>
    <w:p w:rsidR="00000000" w:rsidDel="00000000" w:rsidP="00000000" w:rsidRDefault="00000000" w:rsidRPr="00000000" w14:paraId="00000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Authority under any resultant contract placed under this Dynamic </w:t>
      </w:r>
    </w:p>
    <w:p w:rsidR="00000000" w:rsidDel="00000000" w:rsidP="00000000" w:rsidRDefault="00000000" w:rsidRPr="00000000" w14:paraId="00000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Purchasing System? </w:t>
      </w:r>
    </w:p>
    <w:p w:rsidR="00000000" w:rsidDel="00000000" w:rsidP="00000000" w:rsidRDefault="00000000" w:rsidRPr="00000000" w14:paraId="00000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414550781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112.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that you will support Social Value development </w:t>
      </w:r>
    </w:p>
    <w:p w:rsidR="00000000" w:rsidDel="00000000" w:rsidP="00000000" w:rsidRDefault="00000000" w:rsidRPr="00000000" w14:paraId="00000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reporting through this DPS Agreement. </w:t>
      </w:r>
    </w:p>
    <w:p w:rsidR="00000000" w:rsidDel="00000000" w:rsidP="00000000" w:rsidRDefault="00000000" w:rsidRPr="00000000" w14:paraId="00000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policy is set out in detail in</w:t>
      </w:r>
      <w:r w:rsidDel="00000000" w:rsidR="00000000" w:rsidRPr="00000000">
        <w:rPr>
          <w:rFonts w:ascii="Arial" w:cs="Arial" w:eastAsia="Arial" w:hAnsi="Arial"/>
          <w:b w:val="0"/>
          <w:i w:val="0"/>
          <w:smallCaps w:val="0"/>
          <w:strike w:val="0"/>
          <w:color w:val="0b0c0c"/>
          <w:sz w:val="16.814857482910156"/>
          <w:szCs w:val="16.814857482910156"/>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Policy Procurement Note 06/20</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w:t>
      </w:r>
    </w:p>
    <w:p w:rsidR="00000000" w:rsidDel="00000000" w:rsidP="00000000" w:rsidRDefault="00000000" w:rsidRPr="00000000" w14:paraId="00000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1- Specification. </w:t>
      </w:r>
    </w:p>
    <w:p w:rsidR="00000000" w:rsidDel="00000000" w:rsidP="00000000" w:rsidRDefault="00000000" w:rsidRPr="00000000" w14:paraId="00000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84912109375" w:line="240" w:lineRule="auto"/>
        <w:ind w:left="181.3601684570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Guidance on non compliant criteria </w:t>
      </w:r>
    </w:p>
    <w:p w:rsidR="00000000" w:rsidDel="00000000" w:rsidP="00000000" w:rsidRDefault="00000000" w:rsidRPr="00000000" w14:paraId="00000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7578125" w:line="240" w:lineRule="auto"/>
        <w:ind w:left="413.76556396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section is evaluated PASS/FAIL. If you answer No, your </w:t>
      </w:r>
    </w:p>
    <w:p w:rsidR="00000000" w:rsidDel="00000000" w:rsidP="00000000" w:rsidRDefault="00000000" w:rsidRPr="00000000" w14:paraId="00000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416.2877655029297"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organisation will be deemed as non compliant and will therefore be </w:t>
      </w:r>
    </w:p>
    <w:p w:rsidR="00000000" w:rsidDel="00000000" w:rsidP="00000000" w:rsidRDefault="00000000" w:rsidRPr="00000000" w14:paraId="00000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421.8367004394531"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rejected from the RM6313 DPS. </w:t>
      </w:r>
    </w:p>
    <w:p w:rsidR="00000000" w:rsidDel="00000000" w:rsidP="00000000" w:rsidRDefault="00000000" w:rsidRPr="00000000" w14:paraId="00000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357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5194091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113.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that you have detailed your environmental </w:t>
      </w:r>
    </w:p>
    <w:p w:rsidR="00000000" w:rsidDel="00000000" w:rsidP="00000000" w:rsidRDefault="00000000" w:rsidRPr="00000000" w14:paraId="00000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management measures by completing and publishing a Carbon </w:t>
      </w:r>
    </w:p>
    <w:p w:rsidR="00000000" w:rsidDel="00000000" w:rsidP="00000000" w:rsidRDefault="00000000" w:rsidRPr="00000000" w14:paraId="00000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9.52209472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Reduction Plan which meets the required reporting standard. </w:t>
      </w:r>
    </w:p>
    <w:p w:rsidR="00000000" w:rsidDel="00000000" w:rsidP="00000000" w:rsidRDefault="00000000" w:rsidRPr="00000000" w14:paraId="00000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45166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Templates for a carbon reduction plan, along with guidance on the standards </w:t>
      </w:r>
    </w:p>
    <w:p w:rsidR="00000000" w:rsidDel="00000000" w:rsidP="00000000" w:rsidRDefault="00000000" w:rsidRPr="00000000" w14:paraId="00000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applicable and guidance for public sector organisations on the scope and </w:t>
      </w:r>
    </w:p>
    <w:p w:rsidR="00000000" w:rsidDel="00000000" w:rsidP="00000000" w:rsidRDefault="00000000" w:rsidRPr="00000000" w14:paraId="00000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946502685546875"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application, can be found at: </w:t>
      </w: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Procurement Policy Note 6/21</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92651367187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7070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provide a link to your most recently published Carbon Reduction </w:t>
      </w:r>
    </w:p>
    <w:p w:rsidR="00000000" w:rsidDel="00000000" w:rsidP="00000000" w:rsidRDefault="00000000" w:rsidRPr="00000000" w14:paraId="00000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Plan here: </w:t>
      </w:r>
    </w:p>
    <w:tbl>
      <w:tblPr>
        <w:tblStyle w:val="Table53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85340881347656"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63/79</w:t>
      </w:r>
    </w:p>
    <w:p w:rsidR="00000000" w:rsidDel="00000000" w:rsidP="00000000" w:rsidRDefault="00000000" w:rsidRPr="00000000" w14:paraId="00000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confirm why you can not provide your Carbon Reduction Plan. </w:t>
      </w:r>
    </w:p>
    <w:tbl>
      <w:tblPr>
        <w:tblStyle w:val="Table535"/>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that your organisation is taking steps to reduce </w:t>
      </w:r>
    </w:p>
    <w:p w:rsidR="00000000" w:rsidDel="00000000" w:rsidP="00000000" w:rsidRDefault="00000000" w:rsidRPr="00000000" w14:paraId="00000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GHG Emissions over time and is publicly committed to achieving </w:t>
      </w:r>
    </w:p>
    <w:p w:rsidR="00000000" w:rsidDel="00000000" w:rsidP="00000000" w:rsidRDefault="00000000" w:rsidRPr="00000000" w14:paraId="00000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6.66358947753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Net Zero by 2050. </w:t>
      </w:r>
    </w:p>
    <w:p w:rsidR="00000000" w:rsidDel="00000000" w:rsidP="00000000" w:rsidRDefault="00000000" w:rsidRPr="00000000" w14:paraId="00000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5200195312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7588272094726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contact information below that you have provided at question number 104 of your Selection Questionnaire, and update any fields if required, before continuing to the next page. </w:t>
      </w:r>
    </w:p>
    <w:p w:rsidR="00000000" w:rsidDel="00000000" w:rsidP="00000000" w:rsidRDefault="00000000" w:rsidRPr="00000000" w14:paraId="00000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3221435546875" w:line="242.75882720947266" w:lineRule="auto"/>
        <w:ind w:left="0" w:right="0" w:firstLine="0"/>
        <w:jc w:val="left"/>
        <w:rPr>
          <w:rFonts w:ascii="Arial" w:cs="Arial" w:eastAsia="Arial" w:hAnsi="Arial"/>
          <w:b w:val="0"/>
          <w:i w:val="0"/>
          <w:smallCaps w:val="0"/>
          <w:strike w:val="0"/>
          <w:color w:val="505a5f"/>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505a5f"/>
          <w:sz w:val="16.814857482910156"/>
          <w:szCs w:val="16.814857482910156"/>
          <w:u w:val="none"/>
          <w:shd w:fill="auto" w:val="clear"/>
          <w:vertAlign w:val="baseline"/>
          <w:rtl w:val="0"/>
        </w:rPr>
        <w:t xml:space="preserve">Please note, Buyers will have access to the contact details you provide here. Therefore please ensure the information provided is correct as Buyers will use this to contact you. </w:t>
      </w:r>
    </w:p>
    <w:p w:rsidR="00000000" w:rsidDel="00000000" w:rsidP="00000000" w:rsidRDefault="00000000" w:rsidRPr="00000000" w14:paraId="00000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35852050781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536"/>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53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53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53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54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332702636719"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541"/>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6.1601257324219"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p w:rsidR="00000000" w:rsidDel="00000000" w:rsidP="00000000" w:rsidRDefault="00000000" w:rsidRPr="00000000" w14:paraId="00000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 </w:t>
            </w:r>
          </w:p>
        </w:tc>
      </w:tr>
    </w:tbl>
    <w:p w:rsidR="00000000" w:rsidDel="00000000" w:rsidP="00000000" w:rsidRDefault="00000000" w:rsidRPr="00000000" w14:paraId="00000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w:t>
      </w:r>
    </w:p>
    <w:p w:rsidR="00000000" w:rsidDel="00000000" w:rsidP="00000000" w:rsidRDefault="00000000" w:rsidRPr="00000000" w14:paraId="00000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any point during the lifetime of the DPS, </w:t>
      </w:r>
    </w:p>
    <w:p w:rsidR="00000000" w:rsidDel="00000000" w:rsidP="00000000" w:rsidRDefault="00000000" w:rsidRPr="00000000" w14:paraId="00000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by updating your RM6313 Demand </w:t>
      </w:r>
    </w:p>
    <w:p w:rsidR="00000000" w:rsidDel="00000000" w:rsidP="00000000" w:rsidRDefault="00000000" w:rsidRPr="00000000" w14:paraId="00000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71386718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Management and Renewables DPSQ. </w:t>
      </w:r>
    </w:p>
    <w:p w:rsidR="00000000" w:rsidDel="00000000" w:rsidP="00000000" w:rsidRDefault="00000000" w:rsidRPr="00000000" w14:paraId="00000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5.5810546875"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67.0106506347656" w:right="861.9738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64/79</w:t>
      </w:r>
    </w:p>
    <w:p w:rsidR="00000000" w:rsidDel="00000000" w:rsidP="00000000" w:rsidRDefault="00000000" w:rsidRPr="00000000" w14:paraId="00000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42"/>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4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54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54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4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4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following information for your organisations </w:t>
      </w:r>
    </w:p>
    <w:p w:rsidR="00000000" w:rsidDel="00000000" w:rsidP="00000000" w:rsidRDefault="00000000" w:rsidRPr="00000000" w14:paraId="00000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5.654678344726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headquarters, and update any fields if required, before continuing to </w:t>
      </w:r>
    </w:p>
    <w:p w:rsidR="00000000" w:rsidDel="00000000" w:rsidP="00000000" w:rsidRDefault="00000000" w:rsidRPr="00000000" w14:paraId="00000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next page. </w:t>
      </w:r>
    </w:p>
    <w:p w:rsidR="00000000" w:rsidDel="00000000" w:rsidP="00000000" w:rsidRDefault="00000000" w:rsidRPr="00000000" w14:paraId="00000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451660156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note, Buyers will have access to the contact details you provide here. </w:t>
      </w:r>
    </w:p>
    <w:p w:rsidR="00000000" w:rsidDel="00000000" w:rsidP="00000000" w:rsidRDefault="00000000" w:rsidRPr="00000000" w14:paraId="00000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Therefore please ensure the information provided is correct as Buyers will use </w:t>
      </w:r>
    </w:p>
    <w:p w:rsidR="00000000" w:rsidDel="00000000" w:rsidP="00000000" w:rsidRDefault="00000000" w:rsidRPr="00000000" w14:paraId="00000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to contact you. </w:t>
      </w:r>
    </w:p>
    <w:p w:rsidR="00000000" w:rsidDel="00000000" w:rsidP="00000000" w:rsidRDefault="00000000" w:rsidRPr="00000000" w14:paraId="00000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90893554687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Full name of headquarters </w:t>
      </w:r>
    </w:p>
    <w:tbl>
      <w:tblPr>
        <w:tblStyle w:val="Table54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21154785156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549"/>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5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or City </w:t>
      </w:r>
    </w:p>
    <w:tbl>
      <w:tblPr>
        <w:tblStyle w:val="Table55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65/79</w:t>
      </w:r>
    </w:p>
    <w:p w:rsidR="00000000" w:rsidDel="00000000" w:rsidP="00000000" w:rsidRDefault="00000000" w:rsidRPr="00000000" w14:paraId="00000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or state </w:t>
      </w:r>
    </w:p>
    <w:tbl>
      <w:tblPr>
        <w:tblStyle w:val="Table55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5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5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844177246093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DUNS number </w:t>
      </w:r>
    </w:p>
    <w:tbl>
      <w:tblPr>
        <w:tblStyle w:val="Table55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80526161193848"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117.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DPS Agreement Manager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27868652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556"/>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55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55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55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56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2113952636719"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561"/>
        <w:tblW w:w="3771.3323974609375" w:type="dxa"/>
        <w:jc w:val="left"/>
        <w:tblInd w:w="312.275848388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186767578125" w:line="233.24366569519043"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67.0106506347656" w:right="1755.54748535156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any point during the lifetime of the DPS, by updating your RM6313 Demand Management and Renewables DPSQ. </w:t>
      </w:r>
    </w:p>
    <w:p w:rsidR="00000000" w:rsidDel="00000000" w:rsidP="00000000" w:rsidRDefault="00000000" w:rsidRPr="00000000" w14:paraId="00000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7.529296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66/79</w:t>
      </w:r>
    </w:p>
    <w:p w:rsidR="00000000" w:rsidDel="00000000" w:rsidP="00000000" w:rsidRDefault="00000000" w:rsidRPr="00000000" w14:paraId="00000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6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56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56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6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6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71236419677734"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118.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Authorised Representative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4221191406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567"/>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56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56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57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57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2113952636719"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p w:rsidR="00000000" w:rsidDel="00000000" w:rsidP="00000000" w:rsidRDefault="00000000" w:rsidRPr="00000000" w14:paraId="00000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89257812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33.24366569519043"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67.0106506347656" w:right="1755.54748535156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any point during the lifetime of the DPS, by updating your RM6313 Demand Management and Renewables DPSQ. </w:t>
      </w:r>
    </w:p>
    <w:p w:rsidR="00000000" w:rsidDel="00000000" w:rsidP="00000000" w:rsidRDefault="00000000" w:rsidRPr="00000000" w14:paraId="00000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0.4199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67/79</w:t>
      </w:r>
    </w:p>
    <w:p w:rsidR="00000000" w:rsidDel="00000000" w:rsidP="00000000" w:rsidRDefault="00000000" w:rsidRPr="00000000" w14:paraId="00000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572"/>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7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57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57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7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7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728759765625" w:line="242.71236419677734"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119.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Compliance Officer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34399414062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578"/>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579"/>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58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58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58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6801757812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w:t>
      </w:r>
    </w:p>
    <w:p w:rsidR="00000000" w:rsidDel="00000000" w:rsidP="00000000" w:rsidRDefault="00000000" w:rsidRPr="00000000" w14:paraId="00000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any point during the lifetime of the DPS, </w:t>
      </w:r>
    </w:p>
    <w:p w:rsidR="00000000" w:rsidDel="00000000" w:rsidP="00000000" w:rsidRDefault="00000000" w:rsidRPr="00000000" w14:paraId="00000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by updating your RM6313 Demand </w:t>
      </w:r>
    </w:p>
    <w:p w:rsidR="00000000" w:rsidDel="00000000" w:rsidP="00000000" w:rsidRDefault="00000000" w:rsidRPr="00000000" w14:paraId="00000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71386718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Management and Renewables DPSQ. </w:t>
      </w:r>
    </w:p>
    <w:p w:rsidR="00000000" w:rsidDel="00000000" w:rsidP="00000000" w:rsidRDefault="00000000" w:rsidRPr="00000000" w14:paraId="00000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9.096984863281"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67.0106506347656" w:right="861.9738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68/79</w:t>
      </w:r>
    </w:p>
    <w:p w:rsidR="00000000" w:rsidDel="00000000" w:rsidP="00000000" w:rsidRDefault="00000000" w:rsidRPr="00000000" w14:paraId="00000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8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34033203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584"/>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8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58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58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58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58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2.80526161193848"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120.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Data Protection Officer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27868652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590"/>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591"/>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tbl>
      <w:tblPr>
        <w:tblStyle w:val="Table59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59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18676757812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w:t>
      </w:r>
    </w:p>
    <w:p w:rsidR="00000000" w:rsidDel="00000000" w:rsidP="00000000" w:rsidRDefault="00000000" w:rsidRPr="00000000" w14:paraId="00000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7138671875"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any point during the lifetime of the DPS, </w:t>
      </w:r>
    </w:p>
    <w:p w:rsidR="00000000" w:rsidDel="00000000" w:rsidP="00000000" w:rsidRDefault="00000000" w:rsidRPr="00000000" w14:paraId="00000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by updating your RM6313 Demand </w:t>
      </w:r>
    </w:p>
    <w:p w:rsidR="00000000" w:rsidDel="00000000" w:rsidP="00000000" w:rsidRDefault="00000000" w:rsidRPr="00000000" w14:paraId="00000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Management and Renewables DPSQ. </w:t>
      </w:r>
    </w:p>
    <w:p w:rsidR="00000000" w:rsidDel="00000000" w:rsidP="00000000" w:rsidRDefault="00000000" w:rsidRPr="00000000" w14:paraId="00000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1.9094848632812" w:line="240"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67.0106506347656" w:right="861.973876953125" w:header="0" w:footer="720"/>
          <w:cols w:equalWidth="0" w:num="2">
            <w:col w:space="0" w:w="5100"/>
            <w:col w:space="0" w:w="5100"/>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69/79</w:t>
      </w:r>
    </w:p>
    <w:p w:rsidR="00000000" w:rsidDel="00000000" w:rsidP="00000000" w:rsidRDefault="00000000" w:rsidRPr="00000000" w14:paraId="00000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59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59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134033203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596"/>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59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59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59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60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60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2.8056907653808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provide details of your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Marketing Contact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update any fields if required, before continuing to the next page. </w:t>
      </w:r>
    </w:p>
    <w:p w:rsidR="00000000" w:rsidDel="00000000" w:rsidP="00000000" w:rsidRDefault="00000000" w:rsidRPr="00000000" w14:paraId="00000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27868652343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Contact name </w:t>
      </w:r>
    </w:p>
    <w:tbl>
      <w:tblPr>
        <w:tblStyle w:val="Table602"/>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of organisation </w:t>
      </w:r>
    </w:p>
    <w:tbl>
      <w:tblPr>
        <w:tblStyle w:val="Table603"/>
        <w:tblW w:w="4179.69314575195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Role in organisation </w:t>
      </w:r>
    </w:p>
    <w:p w:rsidR="00000000" w:rsidDel="00000000" w:rsidP="00000000" w:rsidRDefault="00000000" w:rsidRPr="00000000" w14:paraId="00000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886474609375" w:line="240" w:lineRule="auto"/>
        <w:ind w:left="0" w:right="0" w:firstLine="0"/>
        <w:jc w:val="left"/>
        <w:rPr>
          <w:rFonts w:ascii="Arial" w:cs="Arial" w:eastAsia="Arial" w:hAnsi="Arial"/>
          <w:b w:val="1"/>
          <w:i w:val="0"/>
          <w:smallCaps w:val="0"/>
          <w:strike w:val="0"/>
          <w:color w:val="000000"/>
          <w:sz w:val="21.619102478027344"/>
          <w:szCs w:val="21.619102478027344"/>
          <w:u w:val="none"/>
          <w:shd w:fill="auto" w:val="clear"/>
          <w:vertAlign w:val="baseline"/>
        </w:rPr>
      </w:pPr>
      <w:r w:rsidDel="00000000" w:rsidR="00000000" w:rsidRPr="00000000">
        <w:rPr>
          <w:rFonts w:ascii="Arial" w:cs="Arial" w:eastAsia="Arial" w:hAnsi="Arial"/>
          <w:b w:val="1"/>
          <w:i w:val="0"/>
          <w:smallCaps w:val="0"/>
          <w:strike w:val="0"/>
          <w:color w:val="000000"/>
          <w:sz w:val="21.619102478027344"/>
          <w:szCs w:val="21.619102478027344"/>
          <w:u w:val="none"/>
          <w:shd w:fill="auto" w:val="clear"/>
          <w:vertAlign w:val="baseline"/>
          <w:rtl w:val="0"/>
        </w:rPr>
        <w:t xml:space="preserve">Guidance </w:t>
      </w:r>
    </w:p>
    <w:p w:rsidR="00000000" w:rsidDel="00000000" w:rsidP="00000000" w:rsidRDefault="00000000" w:rsidRPr="00000000" w14:paraId="00000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9710693359375" w:line="233.24366569519043" w:lineRule="auto"/>
        <w:ind w:left="0" w:right="0" w:firstLine="0"/>
        <w:jc w:val="left"/>
        <w:rPr>
          <w:rFonts w:ascii="Arial" w:cs="Arial" w:eastAsia="Arial" w:hAnsi="Arial"/>
          <w:b w:val="0"/>
          <w:i w:val="0"/>
          <w:smallCaps w:val="0"/>
          <w:strike w:val="0"/>
          <w:color w:val="0b0c0c"/>
          <w:sz w:val="14.412734985351562"/>
          <w:szCs w:val="14.412734985351562"/>
          <w:u w:val="none"/>
          <w:shd w:fill="auto" w:val="clear"/>
          <w:vertAlign w:val="baseline"/>
        </w:rPr>
        <w:sectPr>
          <w:type w:val="continuous"/>
          <w:pgSz w:h="16840" w:w="11900" w:orient="portrait"/>
          <w:pgMar w:bottom="707.5" w:top="386.6015625" w:left="867.0106506347656" w:right="1755.5474853515625" w:header="0" w:footer="720"/>
          <w:cols w:equalWidth="0" w:num="2">
            <w:col w:space="0" w:w="4640"/>
            <w:col w:space="0" w:w="4640"/>
          </w:cols>
        </w:sectPr>
      </w:pPr>
      <w:r w:rsidDel="00000000" w:rsidR="00000000" w:rsidRPr="00000000">
        <w:rPr>
          <w:rFonts w:ascii="Arial" w:cs="Arial" w:eastAsia="Arial" w:hAnsi="Arial"/>
          <w:b w:val="0"/>
          <w:i w:val="0"/>
          <w:smallCaps w:val="0"/>
          <w:strike w:val="0"/>
          <w:color w:val="0b0c0c"/>
          <w:sz w:val="14.412734985351562"/>
          <w:szCs w:val="14.412734985351562"/>
          <w:u w:val="none"/>
          <w:shd w:fill="auto" w:val="clear"/>
          <w:vertAlign w:val="baseline"/>
          <w:rtl w:val="0"/>
        </w:rPr>
        <w:t xml:space="preserve">You can update your contact details at any point during the lifetime of the DPS, by updating your RM6313 Demand Management and Renewables DPSQ. </w:t>
      </w:r>
    </w:p>
    <w:p w:rsidR="00000000" w:rsidDel="00000000" w:rsidP="00000000" w:rsidRDefault="00000000" w:rsidRPr="00000000" w14:paraId="00000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9.01367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70/79</w:t>
      </w:r>
    </w:p>
    <w:tbl>
      <w:tblPr>
        <w:tblStyle w:val="Table60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number </w:t>
      </w:r>
    </w:p>
    <w:tbl>
      <w:tblPr>
        <w:tblStyle w:val="Table60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60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54119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20.418041229248047"/>
          <w:szCs w:val="20.41804122924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Search for your location details </w:t>
      </w:r>
    </w:p>
    <w:p w:rsidR="00000000" w:rsidDel="00000000" w:rsidP="00000000" w:rsidRDefault="00000000" w:rsidRPr="00000000" w14:paraId="00000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212158203125" w:line="240" w:lineRule="auto"/>
        <w:ind w:left="329.2228698730469"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Address lookup </w:t>
      </w:r>
    </w:p>
    <w:tbl>
      <w:tblPr>
        <w:tblStyle w:val="Table607"/>
        <w:tblW w:w="3771.3323974609375" w:type="dxa"/>
        <w:jc w:val="left"/>
        <w:tblInd w:w="326.160125732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71.3323974609375"/>
        <w:tblGridChange w:id="0">
          <w:tblGrid>
            <w:gridCol w:w="3771.332397460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742553710938" w:right="0" w:firstLine="0"/>
              <w:jc w:val="left"/>
              <w:rPr>
                <w:rFonts w:ascii="Arial" w:cs="Arial" w:eastAsia="Arial" w:hAnsi="Arial"/>
                <w:b w:val="0"/>
                <w:i w:val="0"/>
                <w:smallCaps w:val="0"/>
                <w:strike w:val="0"/>
                <w:color w:val="a9a9a9"/>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a9a9a9"/>
                <w:sz w:val="22.82016372680664"/>
                <w:szCs w:val="22.82016372680664"/>
                <w:u w:val="none"/>
                <w:shd w:fill="auto" w:val="clear"/>
                <w:vertAlign w:val="baseline"/>
                <w:rtl w:val="0"/>
              </w:rPr>
              <w:t xml:space="preserve">Search for address</w:t>
            </w:r>
          </w:p>
        </w:tc>
      </w:tr>
    </w:tbl>
    <w:p w:rsidR="00000000" w:rsidDel="00000000" w:rsidP="00000000" w:rsidRDefault="00000000" w:rsidRPr="00000000" w14:paraId="00000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Street </w:t>
      </w:r>
    </w:p>
    <w:tbl>
      <w:tblPr>
        <w:tblStyle w:val="Table60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Town </w:t>
      </w:r>
    </w:p>
    <w:tbl>
      <w:tblPr>
        <w:tblStyle w:val="Table60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County </w:t>
      </w:r>
    </w:p>
    <w:tbl>
      <w:tblPr>
        <w:tblStyle w:val="Table61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Postcode </w:t>
      </w:r>
    </w:p>
    <w:tbl>
      <w:tblPr>
        <w:tblStyle w:val="Table61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3189086914062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Country </w:t>
      </w:r>
    </w:p>
    <w:tbl>
      <w:tblPr>
        <w:tblStyle w:val="Table61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1241607666015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Country</w:t>
            </w:r>
          </w:p>
        </w:tc>
      </w:tr>
    </w:tbl>
    <w:p w:rsidR="00000000" w:rsidDel="00000000" w:rsidP="00000000" w:rsidRDefault="00000000" w:rsidRPr="00000000" w14:paraId="00000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Thank you for completing the Demand Management and Renewables </w:t>
      </w:r>
    </w:p>
    <w:p w:rsidR="00000000" w:rsidDel="00000000" w:rsidP="00000000" w:rsidRDefault="00000000" w:rsidRPr="00000000" w14:paraId="00000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questionnaire. </w:t>
      </w:r>
    </w:p>
    <w:p w:rsidR="00000000" w:rsidDel="00000000" w:rsidP="00000000" w:rsidRDefault="00000000" w:rsidRPr="00000000" w14:paraId="00000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333251953125" w:line="240" w:lineRule="auto"/>
        <w:ind w:left="27.168045043945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By providing this information you confirm that you are an authorised </w:t>
      </w:r>
    </w:p>
    <w:p w:rsidR="00000000" w:rsidDel="00000000" w:rsidP="00000000" w:rsidRDefault="00000000" w:rsidRPr="00000000" w14:paraId="00000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representative of the organisation for which you have responded. In addition, </w:t>
      </w:r>
    </w:p>
    <w:p w:rsidR="00000000" w:rsidDel="00000000" w:rsidP="00000000" w:rsidRDefault="00000000" w:rsidRPr="00000000" w14:paraId="00000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confirms that the information you have provided for the questionnaire </w:t>
      </w:r>
    </w:p>
    <w:p w:rsidR="00000000" w:rsidDel="00000000" w:rsidP="00000000" w:rsidRDefault="00000000" w:rsidRPr="00000000" w14:paraId="00000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represents a true and honest account of your organisations performance and </w:t>
      </w:r>
    </w:p>
    <w:p w:rsidR="00000000" w:rsidDel="00000000" w:rsidP="00000000" w:rsidRDefault="00000000" w:rsidRPr="00000000" w14:paraId="00000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that no information has been omitted which should reasonably have been </w:t>
      </w:r>
    </w:p>
    <w:p w:rsidR="00000000" w:rsidDel="00000000" w:rsidP="00000000" w:rsidRDefault="00000000" w:rsidRPr="00000000" w14:paraId="00000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shared. </w:t>
      </w:r>
    </w:p>
    <w:p w:rsidR="00000000" w:rsidDel="00000000" w:rsidP="00000000" w:rsidRDefault="00000000" w:rsidRPr="00000000" w14:paraId="00000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085449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71/79</w:t>
      </w:r>
    </w:p>
    <w:p w:rsidR="00000000" w:rsidDel="00000000" w:rsidP="00000000" w:rsidRDefault="00000000" w:rsidRPr="00000000" w14:paraId="00000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review your answers and make any final amendments prior to sending, </w:t>
      </w:r>
    </w:p>
    <w:p w:rsidR="00000000" w:rsidDel="00000000" w:rsidP="00000000" w:rsidRDefault="00000000" w:rsidRPr="00000000" w14:paraId="00000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click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"Save and view answers"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below. </w:t>
      </w:r>
    </w:p>
    <w:p w:rsidR="00000000" w:rsidDel="00000000" w:rsidP="00000000" w:rsidRDefault="00000000" w:rsidRPr="00000000" w14:paraId="00000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submit your Demand Management and Renewables DPS questionnaire, </w:t>
      </w:r>
    </w:p>
    <w:p w:rsidR="00000000" w:rsidDel="00000000" w:rsidP="00000000" w:rsidRDefault="00000000" w:rsidRPr="00000000" w14:paraId="00000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click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"Continue"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below. </w:t>
      </w:r>
    </w:p>
    <w:p w:rsidR="00000000" w:rsidDel="00000000" w:rsidP="00000000" w:rsidRDefault="00000000" w:rsidRPr="00000000" w14:paraId="00000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7.42309570312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124.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Have you reviewed the related self cleaning evidence? </w:t>
      </w:r>
    </w:p>
    <w:p w:rsidR="00000000" w:rsidDel="00000000" w:rsidP="00000000" w:rsidRDefault="00000000" w:rsidRPr="00000000" w14:paraId="00000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545166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704589843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2465820312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Explain the reason why self cleaning evidence is not reviewed </w:t>
      </w:r>
    </w:p>
    <w:tbl>
      <w:tblPr>
        <w:tblStyle w:val="Table613"/>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125.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Are you satisfied with the evidence and explanation provided by </w:t>
      </w:r>
    </w:p>
    <w:p w:rsidR="00000000" w:rsidDel="00000000" w:rsidP="00000000" w:rsidRDefault="00000000" w:rsidRPr="00000000" w14:paraId="00000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supplier? </w:t>
      </w:r>
    </w:p>
    <w:p w:rsidR="00000000" w:rsidDel="00000000" w:rsidP="00000000" w:rsidRDefault="00000000" w:rsidRPr="00000000" w14:paraId="00000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291015625" w:line="240" w:lineRule="auto"/>
        <w:ind w:left="617.3814392089844"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Yes </w:t>
      </w:r>
    </w:p>
    <w:p w:rsidR="00000000" w:rsidDel="00000000" w:rsidP="00000000" w:rsidRDefault="00000000" w:rsidRPr="00000000" w14:paraId="00000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58544921875" w:line="240" w:lineRule="auto"/>
        <w:ind w:left="631.75811767578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No </w:t>
      </w:r>
    </w:p>
    <w:p w:rsidR="00000000" w:rsidDel="00000000" w:rsidP="00000000" w:rsidRDefault="00000000" w:rsidRPr="00000000" w14:paraId="00000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247070312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Explain the reason why you are not satisfied with the evidence or </w:t>
      </w:r>
    </w:p>
    <w:p w:rsidR="00000000" w:rsidDel="00000000" w:rsidP="00000000" w:rsidRDefault="00000000" w:rsidRPr="00000000" w14:paraId="00000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21.090621948242188"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explanation provided by supplier </w:t>
      </w:r>
    </w:p>
    <w:tbl>
      <w:tblPr>
        <w:tblStyle w:val="Table614"/>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0561523438" w:line="240" w:lineRule="auto"/>
        <w:ind w:left="25.31837463378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126.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one of the following actions for this supplier </w:t>
      </w:r>
    </w:p>
    <w:p w:rsidR="00000000" w:rsidDel="00000000" w:rsidP="00000000" w:rsidRDefault="00000000" w:rsidRPr="00000000" w14:paraId="00000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submission. </w:t>
      </w:r>
    </w:p>
    <w:p w:rsidR="00000000" w:rsidDel="00000000" w:rsidP="00000000" w:rsidRDefault="00000000" w:rsidRPr="00000000" w14:paraId="00000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6239013671875" w:line="240" w:lineRule="auto"/>
        <w:ind w:left="634.72473144531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Direct this submission to the Registered 1 stage </w:t>
      </w:r>
    </w:p>
    <w:p w:rsidR="00000000" w:rsidDel="00000000" w:rsidP="00000000" w:rsidRDefault="00000000" w:rsidRPr="00000000" w14:paraId="00000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72/79</w:t>
      </w:r>
    </w:p>
    <w:p w:rsidR="00000000" w:rsidDel="00000000" w:rsidP="00000000" w:rsidRDefault="00000000" w:rsidRPr="00000000" w14:paraId="00000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4.7247314453125"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Direct this submission to the Registered 1 stage </w:t>
      </w:r>
    </w:p>
    <w:p w:rsidR="00000000" w:rsidDel="00000000" w:rsidP="00000000" w:rsidRDefault="00000000" w:rsidRPr="00000000" w14:paraId="00000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62646484375" w:line="240" w:lineRule="auto"/>
        <w:ind w:left="635.6375122070312"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Reject this submission from the Demand </w:t>
      </w:r>
    </w:p>
    <w:p w:rsidR="00000000" w:rsidDel="00000000" w:rsidP="00000000" w:rsidRDefault="00000000" w:rsidRPr="00000000" w14:paraId="00000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896484375" w:line="240" w:lineRule="auto"/>
        <w:ind w:left="631.5299987792969"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Management and Renewables DPS </w:t>
      </w:r>
    </w:p>
    <w:p w:rsidR="00000000" w:rsidDel="00000000" w:rsidP="00000000" w:rsidRDefault="00000000" w:rsidRPr="00000000" w14:paraId="00000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33642578125" w:line="242.7132511138916" w:lineRule="auto"/>
        <w:ind w:left="29.5220947265625" w:right="5151.2188720703125" w:hanging="7.566680908203125"/>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Confirm the rejection of this supplier for Demand Management and Renewables DPS </w:t>
      </w:r>
    </w:p>
    <w:p w:rsidR="00000000" w:rsidDel="00000000" w:rsidP="00000000" w:rsidRDefault="00000000" w:rsidRPr="00000000" w14:paraId="00000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390869140625" w:line="239.88341331481934" w:lineRule="auto"/>
        <w:ind w:left="21.450958251953125" w:right="4359.15283203125" w:firstLine="8.647613525390625"/>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Explain the reason for rejection of this supplier for Demand Management and Renewables DPSQ. </w:t>
      </w:r>
    </w:p>
    <w:tbl>
      <w:tblPr>
        <w:tblStyle w:val="Table615"/>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Date supplier can reapply </w:t>
      </w:r>
    </w:p>
    <w:p w:rsidR="00000000" w:rsidDel="00000000" w:rsidP="00000000" w:rsidRDefault="00000000" w:rsidRPr="00000000" w14:paraId="00000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Day </w:t>
      </w:r>
    </w:p>
    <w:p w:rsidR="00000000" w:rsidDel="00000000" w:rsidP="00000000" w:rsidRDefault="00000000" w:rsidRPr="00000000" w14:paraId="00000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(DD) </w:t>
      </w:r>
    </w:p>
    <w:tbl>
      <w:tblPr>
        <w:tblStyle w:val="Table616"/>
        <w:tblW w:w="528.466949462890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8341331481934"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Month (MM) </w:t>
      </w:r>
    </w:p>
    <w:tbl>
      <w:tblPr>
        <w:tblStyle w:val="Table617"/>
        <w:tblW w:w="528.4669494628906" w:type="dxa"/>
        <w:jc w:val="left"/>
        <w:tblInd w:w="80.848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Year </w:t>
      </w:r>
    </w:p>
    <w:p w:rsidR="00000000" w:rsidDel="00000000" w:rsidP="00000000" w:rsidRDefault="00000000" w:rsidRPr="00000000" w14:paraId="00000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(YYYY) </w:t>
      </w:r>
    </w:p>
    <w:tbl>
      <w:tblPr>
        <w:tblStyle w:val="Table618"/>
        <w:tblW w:w="696.6156005859375" w:type="dxa"/>
        <w:jc w:val="left"/>
        <w:tblInd w:w="161.697998046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6.6156005859375"/>
        <w:tblGridChange w:id="0">
          <w:tblGrid>
            <w:gridCol w:w="696.6156005859375"/>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07.5" w:top="386.6015625" w:left="867.0106506347656" w:right="8414.675903320312" w:header="0" w:footer="720"/>
          <w:cols w:equalWidth="0" w:num="3">
            <w:col w:space="0" w:w="880"/>
            <w:col w:space="0" w:w="880"/>
            <w:col w:space="0" w:w="880"/>
          </w:cols>
        </w:sectPr>
      </w:pPr>
      <w:r w:rsidDel="00000000" w:rsidR="00000000" w:rsidRPr="00000000">
        <w:rPr>
          <w:rtl w:val="0"/>
        </w:rPr>
      </w:r>
    </w:p>
    <w:p w:rsidR="00000000" w:rsidDel="00000000" w:rsidP="00000000" w:rsidRDefault="00000000" w:rsidRPr="00000000" w14:paraId="00000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and confirm your agreement to the following DPS </w:t>
      </w:r>
    </w:p>
    <w:p w:rsidR="00000000" w:rsidDel="00000000" w:rsidP="00000000" w:rsidRDefault="00000000" w:rsidRPr="00000000" w14:paraId="00000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Appointment Form information, before proceeding with your </w:t>
      </w:r>
    </w:p>
    <w:p w:rsidR="00000000" w:rsidDel="00000000" w:rsidP="00000000" w:rsidRDefault="00000000" w:rsidRPr="00000000" w14:paraId="00000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application for the RM6313 Demand Management and Renewables. </w:t>
      </w:r>
    </w:p>
    <w:p w:rsidR="00000000" w:rsidDel="00000000" w:rsidP="00000000" w:rsidRDefault="00000000" w:rsidRPr="00000000" w14:paraId="00000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3326416015625" w:line="240" w:lineRule="auto"/>
        <w:ind w:left="21.282806396484375"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Crown Commercial Service </w:t>
      </w:r>
    </w:p>
    <w:p w:rsidR="00000000" w:rsidDel="00000000" w:rsidP="00000000" w:rsidRDefault="00000000" w:rsidRPr="00000000" w14:paraId="00000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Minister for the Cabinet Office represented by its executive agency the </w:t>
      </w:r>
    </w:p>
    <w:p w:rsidR="00000000" w:rsidDel="00000000" w:rsidP="00000000" w:rsidRDefault="00000000" w:rsidRPr="00000000" w14:paraId="00000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Crown Commercial Service (CCS). </w:t>
      </w:r>
    </w:p>
    <w:p w:rsidR="00000000" w:rsidDel="00000000" w:rsidP="00000000" w:rsidRDefault="00000000" w:rsidRPr="00000000" w14:paraId="00000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Its offices are on: 9th Floor, The Capital, Old Hall Street, Liverpool L3 9PP. </w:t>
      </w:r>
    </w:p>
    <w:p w:rsidR="00000000" w:rsidDel="00000000" w:rsidP="00000000" w:rsidRDefault="00000000" w:rsidRPr="00000000" w14:paraId="00000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295166015625" w:line="240" w:lineRule="auto"/>
        <w:ind w:left="19.265060424804688"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Supplier </w:t>
      </w:r>
    </w:p>
    <w:p w:rsidR="00000000" w:rsidDel="00000000" w:rsidP="00000000" w:rsidRDefault="00000000" w:rsidRPr="00000000" w14:paraId="00000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name, address, and registration number of the Supplier will be captured </w:t>
      </w:r>
    </w:p>
    <w:p w:rsidR="00000000" w:rsidDel="00000000" w:rsidP="00000000" w:rsidRDefault="00000000" w:rsidRPr="00000000" w14:paraId="00000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as part of the selection questionnaire during the DPS Registration process. </w:t>
      </w:r>
    </w:p>
    <w:p w:rsidR="00000000" w:rsidDel="00000000" w:rsidP="00000000" w:rsidRDefault="00000000" w:rsidRPr="00000000" w14:paraId="00000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295166015625" w:line="240" w:lineRule="auto"/>
        <w:ind w:left="26.8317413330078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Dynamic Purchasing System Contract </w:t>
      </w:r>
    </w:p>
    <w:p w:rsidR="00000000" w:rsidDel="00000000" w:rsidP="00000000" w:rsidRDefault="00000000" w:rsidRPr="00000000" w14:paraId="00000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dynamic purchasing system access agreement between CCS and the </w:t>
      </w:r>
    </w:p>
    <w:p w:rsidR="00000000" w:rsidDel="00000000" w:rsidP="00000000" w:rsidRDefault="00000000" w:rsidRPr="00000000" w14:paraId="00000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Supplier allows the Supplier to be considered for Order Contracts to supply </w:t>
      </w:r>
    </w:p>
    <w:p w:rsidR="00000000" w:rsidDel="00000000" w:rsidP="00000000" w:rsidRDefault="00000000" w:rsidRPr="00000000" w14:paraId="00000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Deliverables in Service Filter Categories as detailed in bid pack </w:t>
      </w:r>
    </w:p>
    <w:p w:rsidR="00000000" w:rsidDel="00000000" w:rsidP="00000000" w:rsidRDefault="00000000" w:rsidRPr="00000000" w14:paraId="00000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Attachment 1- Products and Service Matrix. You cannot deliver in any other </w:t>
      </w:r>
    </w:p>
    <w:p w:rsidR="00000000" w:rsidDel="00000000" w:rsidP="00000000" w:rsidRDefault="00000000" w:rsidRPr="00000000" w14:paraId="00000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Filter Categories under this Contract. Any references made to other Filter </w:t>
      </w:r>
    </w:p>
    <w:p w:rsidR="00000000" w:rsidDel="00000000" w:rsidP="00000000" w:rsidRDefault="00000000" w:rsidRPr="00000000" w14:paraId="00000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Categories in this Contract do not apply. </w:t>
      </w:r>
    </w:p>
    <w:p w:rsidR="00000000" w:rsidDel="00000000" w:rsidP="00000000" w:rsidRDefault="00000000" w:rsidRPr="00000000" w14:paraId="00000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This opportunity is advertised in the Contract Notice in the Official Journal of </w:t>
      </w:r>
    </w:p>
    <w:p w:rsidR="00000000" w:rsidDel="00000000" w:rsidP="00000000" w:rsidRDefault="00000000" w:rsidRPr="00000000" w14:paraId="00000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European Union RM6313 (OJEU Notice). </w:t>
      </w:r>
    </w:p>
    <w:p w:rsidR="00000000" w:rsidDel="00000000" w:rsidP="00000000" w:rsidRDefault="00000000" w:rsidRPr="00000000" w14:paraId="00000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6.8317413330078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Deliverables </w:t>
      </w:r>
    </w:p>
    <w:p w:rsidR="00000000" w:rsidDel="00000000" w:rsidP="00000000" w:rsidRDefault="00000000" w:rsidRPr="00000000" w14:paraId="00000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008636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Digital Training &amp; Support Services </w:t>
      </w:r>
    </w:p>
    <w:p w:rsidR="00000000" w:rsidDel="00000000" w:rsidP="00000000" w:rsidRDefault="00000000" w:rsidRPr="00000000" w14:paraId="00000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2.11456298828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See DPS Schedule 1 (Specification) for further details. </w:t>
      </w:r>
    </w:p>
    <w:p w:rsidR="00000000" w:rsidDel="00000000" w:rsidP="00000000" w:rsidRDefault="00000000" w:rsidRPr="00000000" w14:paraId="00000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02001953125" w:line="240" w:lineRule="auto"/>
        <w:ind w:left="26.8317413330078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Dynamic Purchasing System Start Date </w:t>
      </w:r>
    </w:p>
    <w:p w:rsidR="00000000" w:rsidDel="00000000" w:rsidP="00000000" w:rsidRDefault="00000000" w:rsidRPr="00000000" w14:paraId="00000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date in which you agree to the Terms and Conditions; and become </w:t>
      </w:r>
    </w:p>
    <w:p w:rsidR="00000000" w:rsidDel="00000000" w:rsidP="00000000" w:rsidRDefault="00000000" w:rsidRPr="00000000" w14:paraId="00000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'Appointed' to the DPS as detailed in paragraph 6.7 of this DPS Needs </w:t>
      </w:r>
    </w:p>
    <w:p w:rsidR="00000000" w:rsidDel="00000000" w:rsidP="00000000" w:rsidRDefault="00000000" w:rsidRPr="00000000" w14:paraId="00000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document, is the start date of your DPS Agreement. If you become appointed </w:t>
      </w:r>
    </w:p>
    <w:p w:rsidR="00000000" w:rsidDel="00000000" w:rsidP="00000000" w:rsidRDefault="00000000" w:rsidRPr="00000000" w14:paraId="00000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4.982070922851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 the first thirty (30) days from the date of the OJEU submission (21/05/2020) </w:t>
      </w:r>
    </w:p>
    <w:p w:rsidR="00000000" w:rsidDel="00000000" w:rsidP="00000000" w:rsidRDefault="00000000" w:rsidRPr="00000000" w14:paraId="00000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your DPS agreement start date will be 22/06/2020. </w:t>
      </w:r>
    </w:p>
    <w:p w:rsidR="00000000" w:rsidDel="00000000" w:rsidP="00000000" w:rsidRDefault="00000000" w:rsidRPr="00000000" w14:paraId="00000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913513183594" w:line="240" w:lineRule="auto"/>
        <w:ind w:left="27.75650024414062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Dynamic Purchasing System Expiry Date </w:t>
      </w:r>
    </w:p>
    <w:p w:rsidR="00000000" w:rsidDel="00000000" w:rsidP="00000000" w:rsidRDefault="00000000" w:rsidRPr="00000000" w14:paraId="00000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95460510253906" w:line="240" w:lineRule="auto"/>
        <w:ind w:left="0" w:right="0" w:firstLine="0"/>
        <w:jc w:val="righ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73/79</w:t>
      </w:r>
    </w:p>
    <w:tbl>
      <w:tblPr>
        <w:tblStyle w:val="Table61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2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75650024414062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DPS Optional Extension Period </w:t>
      </w:r>
    </w:p>
    <w:tbl>
      <w:tblPr>
        <w:tblStyle w:val="Table62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following DPS Incorporated Terms, before </w:t>
      </w:r>
    </w:p>
    <w:p w:rsidR="00000000" w:rsidDel="00000000" w:rsidP="00000000" w:rsidRDefault="00000000" w:rsidRPr="00000000" w14:paraId="00000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proceeding with your application for the RM6313 Demand </w:t>
      </w:r>
    </w:p>
    <w:p w:rsidR="00000000" w:rsidDel="00000000" w:rsidP="00000000" w:rsidRDefault="00000000" w:rsidRPr="00000000" w14:paraId="00000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6.495437622070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Management and Renewables. </w:t>
      </w:r>
    </w:p>
    <w:p w:rsidR="00000000" w:rsidDel="00000000" w:rsidP="00000000" w:rsidRDefault="00000000" w:rsidRPr="00000000" w14:paraId="00000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following documents are incorporated into the DPS Contract. </w:t>
      </w:r>
    </w:p>
    <w:p w:rsidR="00000000" w:rsidDel="00000000" w:rsidP="00000000" w:rsidRDefault="00000000" w:rsidRPr="00000000" w14:paraId="00000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Where numbers are missing we are not using these schedules. If the </w:t>
      </w:r>
    </w:p>
    <w:p w:rsidR="00000000" w:rsidDel="00000000" w:rsidP="00000000" w:rsidRDefault="00000000" w:rsidRPr="00000000" w14:paraId="00000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documents conflict, the following order of precedence applies: </w:t>
      </w:r>
    </w:p>
    <w:p w:rsidR="00000000" w:rsidDel="00000000" w:rsidP="00000000" w:rsidRDefault="00000000" w:rsidRPr="00000000" w14:paraId="00000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333251953125" w:line="240" w:lineRule="auto"/>
        <w:ind w:left="103.099060058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1. This DPS Appointment Form </w:t>
      </w:r>
    </w:p>
    <w:p w:rsidR="00000000" w:rsidDel="00000000" w:rsidP="00000000" w:rsidRDefault="00000000" w:rsidRPr="00000000" w14:paraId="00000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1.6649627685546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2. Any DPS Special Terms (see Section 9 'DPS Special Terms' in the DPS </w:t>
      </w:r>
    </w:p>
    <w:p w:rsidR="00000000" w:rsidDel="00000000" w:rsidP="00000000" w:rsidRDefault="00000000" w:rsidRPr="00000000" w14:paraId="00000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317.008056640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Appointment Form) </w:t>
      </w:r>
    </w:p>
    <w:p w:rsidR="00000000" w:rsidDel="00000000" w:rsidP="00000000" w:rsidRDefault="00000000" w:rsidRPr="00000000" w14:paraId="00000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1.328659057617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3. Joint Schedule 1 (Definitions) RM6313 </w:t>
      </w:r>
    </w:p>
    <w:p w:rsidR="00000000" w:rsidDel="00000000" w:rsidP="00000000" w:rsidRDefault="00000000" w:rsidRPr="00000000" w14:paraId="00000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0.6560516357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4. Joint Schedule 11 (Processing Data) RM6313 </w:t>
      </w:r>
    </w:p>
    <w:p w:rsidR="00000000" w:rsidDel="00000000" w:rsidP="00000000" w:rsidRDefault="00000000" w:rsidRPr="00000000" w14:paraId="00000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1.8330383300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5. The following Schedules for RM6313 (in equal order of precedence): </w:t>
      </w:r>
    </w:p>
    <w:p w:rsidR="00000000" w:rsidDel="00000000" w:rsidP="00000000" w:rsidRDefault="00000000" w:rsidRPr="00000000" w14:paraId="00000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2951660156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1 (Specification) </w:t>
      </w:r>
    </w:p>
    <w:p w:rsidR="00000000" w:rsidDel="00000000" w:rsidP="00000000" w:rsidRDefault="00000000" w:rsidRPr="00000000" w14:paraId="00000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4 (DPS Management) </w:t>
      </w:r>
    </w:p>
    <w:p w:rsidR="00000000" w:rsidDel="00000000" w:rsidP="00000000" w:rsidRDefault="00000000" w:rsidRPr="00000000" w14:paraId="00000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5 (Management Levy and Information) </w:t>
      </w:r>
    </w:p>
    <w:p w:rsidR="00000000" w:rsidDel="00000000" w:rsidP="00000000" w:rsidRDefault="00000000" w:rsidRPr="00000000" w14:paraId="00000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6 (Order Form Template and Order Schedules) </w:t>
      </w:r>
    </w:p>
    <w:p w:rsidR="00000000" w:rsidDel="00000000" w:rsidP="00000000" w:rsidRDefault="00000000" w:rsidRPr="00000000" w14:paraId="00000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625.5126953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including the following template Order Schedules: </w:t>
      </w:r>
    </w:p>
    <w:p w:rsidR="00000000" w:rsidDel="00000000" w:rsidP="00000000" w:rsidRDefault="00000000" w:rsidRPr="00000000" w14:paraId="00000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 (Transparency Reports) </w:t>
      </w:r>
    </w:p>
    <w:p w:rsidR="00000000" w:rsidDel="00000000" w:rsidP="00000000" w:rsidRDefault="00000000" w:rsidRPr="00000000" w14:paraId="00000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2 (Staff Transfer) </w:t>
      </w:r>
    </w:p>
    <w:p w:rsidR="00000000" w:rsidDel="00000000" w:rsidP="00000000" w:rsidRDefault="00000000" w:rsidRPr="00000000" w14:paraId="00000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3 (Continuous Improvement) </w:t>
      </w:r>
    </w:p>
    <w:p w:rsidR="00000000" w:rsidDel="00000000" w:rsidP="00000000" w:rsidRDefault="00000000" w:rsidRPr="00000000" w14:paraId="00000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4 (Order Tender) </w:t>
      </w:r>
    </w:p>
    <w:p w:rsidR="00000000" w:rsidDel="00000000" w:rsidP="00000000" w:rsidRDefault="00000000" w:rsidRPr="00000000" w14:paraId="00000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5 (Pricing Details) </w:t>
      </w:r>
    </w:p>
    <w:p w:rsidR="00000000" w:rsidDel="00000000" w:rsidP="00000000" w:rsidRDefault="00000000" w:rsidRPr="00000000" w14:paraId="00000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6 (ICT Services) </w:t>
      </w:r>
    </w:p>
    <w:p w:rsidR="00000000" w:rsidDel="00000000" w:rsidP="00000000" w:rsidRDefault="00000000" w:rsidRPr="00000000" w14:paraId="00000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7 (Key Supplier Staff) </w:t>
      </w:r>
    </w:p>
    <w:p w:rsidR="00000000" w:rsidDel="00000000" w:rsidP="00000000" w:rsidRDefault="00000000" w:rsidRPr="00000000" w14:paraId="00000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8 (Business Continuity and Disaster Recovery) </w:t>
      </w:r>
    </w:p>
    <w:p w:rsidR="00000000" w:rsidDel="00000000" w:rsidP="00000000" w:rsidRDefault="00000000" w:rsidRPr="00000000" w14:paraId="00000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9 (Security) </w:t>
      </w:r>
    </w:p>
    <w:p w:rsidR="00000000" w:rsidDel="00000000" w:rsidP="00000000" w:rsidRDefault="00000000" w:rsidRPr="00000000" w14:paraId="00000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10 (Exit Management) </w:t>
      </w:r>
    </w:p>
    <w:p w:rsidR="00000000" w:rsidDel="00000000" w:rsidP="00000000" w:rsidRDefault="00000000" w:rsidRPr="00000000" w14:paraId="00000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12 (Clustering) </w:t>
      </w:r>
    </w:p>
    <w:p w:rsidR="00000000" w:rsidDel="00000000" w:rsidP="00000000" w:rsidRDefault="00000000" w:rsidRPr="00000000" w14:paraId="00000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13 (Implementation Plan and Testing) </w:t>
      </w:r>
    </w:p>
    <w:p w:rsidR="00000000" w:rsidDel="00000000" w:rsidP="00000000" w:rsidRDefault="00000000" w:rsidRPr="00000000" w14:paraId="00000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14 (Service Levels) </w:t>
      </w:r>
    </w:p>
    <w:p w:rsidR="00000000" w:rsidDel="00000000" w:rsidP="00000000" w:rsidRDefault="00000000" w:rsidRPr="00000000" w14:paraId="00000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15 (Order Contract Management) </w:t>
      </w:r>
    </w:p>
    <w:p w:rsidR="00000000" w:rsidDel="00000000" w:rsidP="00000000" w:rsidRDefault="00000000" w:rsidRPr="00000000" w14:paraId="00000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16 (Benchmarking) </w:t>
      </w:r>
    </w:p>
    <w:p w:rsidR="00000000" w:rsidDel="00000000" w:rsidP="00000000" w:rsidRDefault="00000000" w:rsidRPr="00000000" w14:paraId="00000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17 (MOD Terms) </w:t>
      </w:r>
    </w:p>
    <w:p w:rsidR="00000000" w:rsidDel="00000000" w:rsidP="00000000" w:rsidRDefault="00000000" w:rsidRPr="00000000" w14:paraId="00000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18 (Background Checks) </w:t>
      </w:r>
    </w:p>
    <w:p w:rsidR="00000000" w:rsidDel="00000000" w:rsidP="00000000" w:rsidRDefault="00000000" w:rsidRPr="00000000" w14:paraId="00000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19 (Scottish Law) </w:t>
      </w:r>
    </w:p>
    <w:p w:rsidR="00000000" w:rsidDel="00000000" w:rsidP="00000000" w:rsidRDefault="00000000" w:rsidRPr="00000000" w14:paraId="00000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20 (Order Specification) </w:t>
      </w:r>
    </w:p>
    <w:p w:rsidR="00000000" w:rsidDel="00000000" w:rsidP="00000000" w:rsidRDefault="00000000" w:rsidRPr="00000000" w14:paraId="00000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21 (Northern Ireland Law) </w:t>
      </w:r>
    </w:p>
    <w:p w:rsidR="00000000" w:rsidDel="00000000" w:rsidP="00000000" w:rsidRDefault="00000000" w:rsidRPr="00000000" w14:paraId="00000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81.1228942871094"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Order Schedule 23 (Supplier Furnished Terms) </w:t>
      </w:r>
    </w:p>
    <w:p w:rsidR="00000000" w:rsidDel="00000000" w:rsidP="00000000" w:rsidRDefault="00000000" w:rsidRPr="00000000" w14:paraId="00000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7 (Order Procedure) </w:t>
      </w:r>
    </w:p>
    <w:p w:rsidR="00000000" w:rsidDel="00000000" w:rsidP="00000000" w:rsidRDefault="00000000" w:rsidRPr="00000000" w14:paraId="00000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8 (Self Audit Certificate) </w:t>
      </w:r>
    </w:p>
    <w:p w:rsidR="00000000" w:rsidDel="00000000" w:rsidP="00000000" w:rsidRDefault="00000000" w:rsidRPr="00000000" w14:paraId="00000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29.380035400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Schedule 9 (Cyber Essentials Scheme) </w:t>
      </w:r>
    </w:p>
    <w:p w:rsidR="00000000" w:rsidDel="00000000" w:rsidP="00000000" w:rsidRDefault="00000000" w:rsidRPr="00000000" w14:paraId="00000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2 (Variation Form) </w:t>
      </w:r>
    </w:p>
    <w:p w:rsidR="00000000" w:rsidDel="00000000" w:rsidP="00000000" w:rsidRDefault="00000000" w:rsidRPr="00000000" w14:paraId="00000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3 (Insurance Requirements) </w:t>
      </w:r>
    </w:p>
    <w:p w:rsidR="00000000" w:rsidDel="00000000" w:rsidP="00000000" w:rsidRDefault="00000000" w:rsidRPr="00000000" w14:paraId="00000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4 (Commercially Sensitive Information) </w:t>
      </w:r>
    </w:p>
    <w:p w:rsidR="00000000" w:rsidDel="00000000" w:rsidP="00000000" w:rsidRDefault="00000000" w:rsidRPr="00000000" w14:paraId="00000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6 (Key Subcontractors) </w:t>
      </w:r>
    </w:p>
    <w:p w:rsidR="00000000" w:rsidDel="00000000" w:rsidP="00000000" w:rsidRDefault="00000000" w:rsidRPr="00000000" w14:paraId="00000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7 (Financial Difficulties) </w:t>
      </w:r>
    </w:p>
    <w:p w:rsidR="00000000" w:rsidDel="00000000" w:rsidP="00000000" w:rsidRDefault="00000000" w:rsidRPr="00000000" w14:paraId="00000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8 (Guarantee) </w:t>
      </w:r>
    </w:p>
    <w:p w:rsidR="00000000" w:rsidDel="00000000" w:rsidP="00000000" w:rsidRDefault="00000000" w:rsidRPr="00000000" w14:paraId="00000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617.273406982421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Joint Schedule 10 (Rectification Plan) </w:t>
      </w:r>
    </w:p>
    <w:p w:rsidR="00000000" w:rsidDel="00000000" w:rsidP="00000000" w:rsidRDefault="00000000" w:rsidRPr="00000000" w14:paraId="00000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93.17825317382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6. CCS Core Terms - DPS (version 1.0.1) </w:t>
      </w:r>
    </w:p>
    <w:p w:rsidR="00000000" w:rsidDel="00000000" w:rsidP="00000000" w:rsidRDefault="00000000" w:rsidRPr="00000000" w14:paraId="00000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93.6827087402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7. Joint Schedule 5 (Corporate Social Responsibility) RM6313 </w:t>
      </w:r>
    </w:p>
    <w:p w:rsidR="00000000" w:rsidDel="00000000" w:rsidP="00000000" w:rsidRDefault="00000000" w:rsidRPr="00000000" w14:paraId="00000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92.169342041015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8. DPS Schedule 2 (DPS Application) RM6313 as long as any part of the </w:t>
      </w:r>
    </w:p>
    <w:p w:rsidR="00000000" w:rsidDel="00000000" w:rsidP="00000000" w:rsidRDefault="00000000" w:rsidRPr="00000000" w14:paraId="00000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349365234375" w:line="240" w:lineRule="auto"/>
        <w:ind w:left="329.1147613525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Application that offers a better commercial position for CCS or </w:t>
      </w:r>
    </w:p>
    <w:p w:rsidR="00000000" w:rsidDel="00000000" w:rsidP="00000000" w:rsidRDefault="00000000" w:rsidRPr="00000000" w14:paraId="00000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74/79</w:t>
      </w:r>
    </w:p>
    <w:p w:rsidR="00000000" w:rsidDel="00000000" w:rsidP="00000000" w:rsidRDefault="00000000" w:rsidRPr="00000000" w14:paraId="00000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11476135253906"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DPS Application that offers a better commercial position for CCS or </w:t>
      </w:r>
    </w:p>
    <w:p w:rsidR="00000000" w:rsidDel="00000000" w:rsidP="00000000" w:rsidRDefault="00000000" w:rsidRPr="00000000" w14:paraId="00000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327.4333190917969"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Buyers (as decided by CCS) take precedence over the documents above </w:t>
      </w:r>
    </w:p>
    <w:p w:rsidR="00000000" w:rsidDel="00000000" w:rsidP="00000000" w:rsidRDefault="00000000" w:rsidRPr="00000000" w14:paraId="00000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40747070312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review the following information, before proceeding with your </w:t>
      </w:r>
    </w:p>
    <w:p w:rsidR="00000000" w:rsidDel="00000000" w:rsidP="00000000" w:rsidRDefault="00000000" w:rsidRPr="00000000" w14:paraId="00000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application for the RM6313 Demand Management and Renewables. </w:t>
      </w:r>
    </w:p>
    <w:p w:rsidR="00000000" w:rsidDel="00000000" w:rsidP="00000000" w:rsidRDefault="00000000" w:rsidRPr="00000000" w14:paraId="00000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26.8317413330078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DPS Pricing </w:t>
      </w:r>
    </w:p>
    <w:p w:rsidR="00000000" w:rsidDel="00000000" w:rsidP="00000000" w:rsidRDefault="00000000" w:rsidRPr="00000000" w14:paraId="00000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Details in DPS Schedule 3 (DPS Pricing) </w:t>
      </w:r>
    </w:p>
    <w:p w:rsidR="00000000" w:rsidDel="00000000" w:rsidP="00000000" w:rsidRDefault="00000000" w:rsidRPr="00000000" w14:paraId="00000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4.47761535644531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Insurance </w:t>
      </w:r>
    </w:p>
    <w:p w:rsidR="00000000" w:rsidDel="00000000" w:rsidP="00000000" w:rsidRDefault="00000000" w:rsidRPr="00000000" w14:paraId="00000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Details in Annex of Joint Schedule 3 (Insurance Requirements). </w:t>
      </w:r>
    </w:p>
    <w:p w:rsidR="00000000" w:rsidDel="00000000" w:rsidP="00000000" w:rsidRDefault="00000000" w:rsidRPr="00000000" w14:paraId="00000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1.282806396484375"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Cyber </w:t>
      </w:r>
    </w:p>
    <w:p w:rsidR="00000000" w:rsidDel="00000000" w:rsidP="00000000" w:rsidRDefault="00000000" w:rsidRPr="00000000" w14:paraId="00000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1767883300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Essentials Certification </w:t>
      </w:r>
    </w:p>
    <w:p w:rsidR="00000000" w:rsidDel="00000000" w:rsidP="00000000" w:rsidRDefault="00000000" w:rsidRPr="00000000" w14:paraId="00000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2.11456298828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Cyber Essentials Scheme Basic - see DPS Schedule 9 </w:t>
      </w:r>
    </w:p>
    <w:p w:rsidR="00000000" w:rsidDel="00000000" w:rsidP="00000000" w:rsidRDefault="00000000" w:rsidRPr="00000000" w14:paraId="00000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48876953125" w:line="240" w:lineRule="auto"/>
        <w:ind w:left="24.98207092285156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Management Levy </w:t>
      </w:r>
    </w:p>
    <w:p w:rsidR="00000000" w:rsidDel="00000000" w:rsidP="00000000" w:rsidRDefault="00000000" w:rsidRPr="00000000" w14:paraId="00000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Supplier will pay, excluding VAT, 0.5 % of all the Charges for the </w:t>
      </w:r>
    </w:p>
    <w:p w:rsidR="00000000" w:rsidDel="00000000" w:rsidP="00000000" w:rsidRDefault="00000000" w:rsidRPr="00000000" w14:paraId="00000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Deliverables invoiced to the Buyer under all Order Contracts. </w:t>
      </w:r>
    </w:p>
    <w:p w:rsidR="00000000" w:rsidDel="00000000" w:rsidP="00000000" w:rsidRDefault="00000000" w:rsidRPr="00000000" w14:paraId="00000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2127685546875"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DPS Agreement Manager </w:t>
      </w:r>
    </w:p>
    <w:tbl>
      <w:tblPr>
        <w:tblStyle w:val="Table622"/>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Authorised Representative </w:t>
      </w:r>
    </w:p>
    <w:tbl>
      <w:tblPr>
        <w:tblStyle w:val="Table623"/>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Compliance Officer </w:t>
      </w:r>
    </w:p>
    <w:tbl>
      <w:tblPr>
        <w:tblStyle w:val="Table624"/>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Data Protection Officer </w:t>
      </w:r>
    </w:p>
    <w:tbl>
      <w:tblPr>
        <w:tblStyle w:val="Table625"/>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935302734375"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1"/>
          <w:i w:val="0"/>
          <w:smallCaps w:val="0"/>
          <w:strike w:val="0"/>
          <w:color w:val="0b0c0c"/>
          <w:sz w:val="18.015918731689453"/>
          <w:szCs w:val="18.015918731689453"/>
          <w:u w:val="none"/>
          <w:shd w:fill="auto" w:val="clear"/>
          <w:vertAlign w:val="baseline"/>
          <w:rtl w:val="0"/>
        </w:rPr>
        <w:t xml:space="preserve">Supplier Marketing Contact </w:t>
      </w:r>
    </w:p>
    <w:tbl>
      <w:tblPr>
        <w:tblStyle w:val="Table626"/>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327285766601562"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Key Subcontractors </w:t>
      </w:r>
    </w:p>
    <w:p w:rsidR="00000000" w:rsidDel="00000000" w:rsidP="00000000" w:rsidRDefault="00000000" w:rsidRPr="00000000" w14:paraId="00000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Details of subcontractors where applicable have been registered and provided </w:t>
      </w:r>
    </w:p>
    <w:p w:rsidR="00000000" w:rsidDel="00000000" w:rsidP="00000000" w:rsidRDefault="00000000" w:rsidRPr="00000000" w14:paraId="00000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4.89318847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where applicable as part of your SQ DPS Submission. </w:t>
      </w:r>
    </w:p>
    <w:p w:rsidR="00000000" w:rsidDel="00000000" w:rsidP="00000000" w:rsidRDefault="00000000" w:rsidRPr="00000000" w14:paraId="00000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380126953125" w:line="240" w:lineRule="auto"/>
        <w:ind w:left="21.282806396484375" w:right="0" w:firstLine="0"/>
        <w:jc w:val="left"/>
        <w:rPr>
          <w:rFonts w:ascii="Arial" w:cs="Arial" w:eastAsia="Arial" w:hAnsi="Arial"/>
          <w:b w:val="1"/>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CCS Authorised Representative </w:t>
      </w:r>
    </w:p>
    <w:p w:rsidR="00000000" w:rsidDel="00000000" w:rsidP="00000000" w:rsidRDefault="00000000" w:rsidRPr="00000000" w14:paraId="00000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44763183594" w:line="240" w:lineRule="auto"/>
        <w:ind w:left="27.57637023925781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Name </w:t>
      </w:r>
    </w:p>
    <w:tbl>
      <w:tblPr>
        <w:tblStyle w:val="Table627"/>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8427734375"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w:t>
            </w:r>
          </w:p>
        </w:tc>
      </w:tr>
    </w:tbl>
    <w:p w:rsidR="00000000" w:rsidDel="00000000" w:rsidP="00000000" w:rsidRDefault="00000000" w:rsidRPr="00000000" w14:paraId="00000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75/79</w:t>
      </w:r>
    </w:p>
    <w:tbl>
      <w:tblPr>
        <w:tblStyle w:val="Table628"/>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4702148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Job Title </w:t>
      </w:r>
    </w:p>
    <w:tbl>
      <w:tblPr>
        <w:tblStyle w:val="Table629"/>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Email Address </w:t>
      </w:r>
    </w:p>
    <w:tbl>
      <w:tblPr>
        <w:tblStyle w:val="Table630"/>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67617797851562"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Telephone </w:t>
      </w:r>
    </w:p>
    <w:tbl>
      <w:tblPr>
        <w:tblStyle w:val="Table631"/>
        <w:tblW w:w="4179.693145751953"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9.693145751953"/>
        <w:tblGridChange w:id="0">
          <w:tblGrid>
            <w:gridCol w:w="4179.693145751953"/>
          </w:tblGrid>
        </w:tblGridChange>
      </w:tblGrid>
      <w:tr>
        <w:trPr>
          <w:cantSplit w:val="0"/>
          <w:trHeight w:val="44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5968551635742" w:lineRule="auto"/>
        <w:ind w:left="16.238327026367188" w:right="4328.8677978515625" w:firstLine="10.92971801757812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By selecting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"I Confirm"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 confirm that you comply with the above DPS Appointment Form statements and requirements. Once you have selected the tick box to confirm your compliance and acknowledgement of the above, select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'Save and continue'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be presented with your non watermarked DPS Appointment Form. </w:t>
      </w:r>
    </w:p>
    <w:p w:rsidR="00000000" w:rsidDel="00000000" w:rsidP="00000000" w:rsidRDefault="00000000" w:rsidRPr="00000000" w14:paraId="00000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632"/>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263.572998046875" w:header="0" w:footer="720"/>
          <w:cols w:equalWidth="0" w:num="2">
            <w:col w:space="0" w:w="840"/>
            <w:col w:space="0" w:w="8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 Confirm </w:t>
      </w:r>
    </w:p>
    <w:p w:rsidR="00000000" w:rsidDel="00000000" w:rsidP="00000000" w:rsidRDefault="00000000" w:rsidRPr="00000000" w14:paraId="00000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3631591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6.07017517089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 have successfully completed the SQ for Demand Management </w:t>
      </w:r>
    </w:p>
    <w:p w:rsidR="00000000" w:rsidDel="00000000" w:rsidP="00000000" w:rsidRDefault="00000000" w:rsidRPr="00000000" w14:paraId="00000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Renewables DPS. The DPS Appointment Form will be </w:t>
      </w:r>
    </w:p>
    <w:p w:rsidR="00000000" w:rsidDel="00000000" w:rsidP="00000000" w:rsidRDefault="00000000" w:rsidRPr="00000000" w14:paraId="00000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0.6101989746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electronically signed and managed by Crown Commercial Service </w:t>
      </w:r>
    </w:p>
    <w:p w:rsidR="00000000" w:rsidDel="00000000" w:rsidP="00000000" w:rsidRDefault="00000000" w:rsidRPr="00000000" w14:paraId="00000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6.159133911132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(CCS) and you. </w:t>
      </w:r>
    </w:p>
    <w:p w:rsidR="00000000" w:rsidDel="00000000" w:rsidP="00000000" w:rsidRDefault="00000000" w:rsidRPr="00000000" w14:paraId="00000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451660156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Final sign off to ensure a legally binding DPS Appointment Form between </w:t>
      </w:r>
    </w:p>
    <w:p w:rsidR="00000000" w:rsidDel="00000000" w:rsidP="00000000" w:rsidRDefault="00000000" w:rsidRPr="00000000" w14:paraId="00000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CCS and you is completed by you ticking your acceptance in the below box. </w:t>
      </w:r>
    </w:p>
    <w:p w:rsidR="00000000" w:rsidDel="00000000" w:rsidP="00000000" w:rsidRDefault="00000000" w:rsidRPr="00000000" w14:paraId="00000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232666015625" w:line="240" w:lineRule="auto"/>
        <w:ind w:left="27.168045043945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By ticking, you are confirming that you comply with the following agreements </w:t>
      </w:r>
    </w:p>
    <w:p w:rsidR="00000000" w:rsidDel="00000000" w:rsidP="00000000" w:rsidRDefault="00000000" w:rsidRPr="00000000" w14:paraId="00000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documentation, which you should download and retain: </w:t>
      </w:r>
    </w:p>
    <w:p w:rsidR="00000000" w:rsidDel="00000000" w:rsidP="00000000" w:rsidRDefault="00000000" w:rsidRPr="00000000" w14:paraId="00000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295166015625" w:line="240" w:lineRule="auto"/>
        <w:ind w:left="209.008636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DPS Agreement</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(which includes Payment of management Levy) </w:t>
      </w:r>
    </w:p>
    <w:p w:rsidR="00000000" w:rsidDel="00000000" w:rsidP="00000000" w:rsidRDefault="00000000" w:rsidRPr="00000000" w14:paraId="00000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09.34494018554688" w:right="0" w:firstLine="0"/>
        <w:jc w:val="left"/>
        <w:rPr>
          <w:rFonts w:ascii="Arial" w:cs="Arial" w:eastAsia="Arial" w:hAnsi="Arial"/>
          <w:b w:val="0"/>
          <w:i w:val="0"/>
          <w:smallCaps w:val="0"/>
          <w:strike w:val="0"/>
          <w:color w:val="0000ee"/>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Privacy Notice &amp; CCS DPS Terms of Use</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p>
    <w:p w:rsidR="00000000" w:rsidDel="00000000" w:rsidP="00000000" w:rsidRDefault="00000000" w:rsidRPr="00000000" w14:paraId="00000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96.9019317626953"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Answer Link </w:t>
      </w:r>
    </w:p>
    <w:p w:rsidR="00000000" w:rsidDel="00000000" w:rsidP="00000000" w:rsidRDefault="00000000" w:rsidRPr="00000000" w14:paraId="00000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09.00863647460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000ee"/>
          <w:sz w:val="16.814857482910156"/>
          <w:szCs w:val="16.814857482910156"/>
          <w:u w:val="single"/>
          <w:shd w:fill="auto" w:val="clear"/>
          <w:vertAlign w:val="baseline"/>
          <w:rtl w:val="0"/>
        </w:rPr>
        <w:t xml:space="preserve">DPS Bid Pack</w:t>
      </w:r>
      <w:r w:rsidDel="00000000" w:rsidR="00000000" w:rsidRPr="00000000">
        <w:rPr>
          <w:rFonts w:ascii="Arial" w:cs="Arial" w:eastAsia="Arial" w:hAnsi="Arial"/>
          <w:b w:val="0"/>
          <w:i w:val="0"/>
          <w:smallCaps w:val="0"/>
          <w:strike w:val="0"/>
          <w:color w:val="0000ee"/>
          <w:sz w:val="16.814857482910156"/>
          <w:szCs w:val="16.814857482910156"/>
          <w:u w:val="none"/>
          <w:shd w:fill="auto" w:val="clear"/>
          <w:vertAlign w:val="baseline"/>
          <w:rtl w:val="0"/>
        </w:rPr>
        <w:t xml:space="preserve">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(which includes the Terms and Conditions, DPS Needs and </w:t>
      </w:r>
    </w:p>
    <w:p w:rsidR="00000000" w:rsidDel="00000000" w:rsidP="00000000" w:rsidRDefault="00000000" w:rsidRPr="00000000" w14:paraId="00000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2.114562988281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Customer Needs documents) </w:t>
      </w:r>
    </w:p>
    <w:p w:rsidR="00000000" w:rsidDel="00000000" w:rsidP="00000000" w:rsidRDefault="00000000" w:rsidRPr="00000000" w14:paraId="00000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270751953125" w:line="240" w:lineRule="auto"/>
        <w:ind w:left="30.69915771484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If you are electronically signing the DPS Appointment Form for the RM6313 </w:t>
      </w:r>
    </w:p>
    <w:p w:rsidR="00000000" w:rsidDel="00000000" w:rsidP="00000000" w:rsidRDefault="00000000" w:rsidRPr="00000000" w14:paraId="00000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Demand Management and Renewables as the lead contact for a Group of </w:t>
      </w:r>
    </w:p>
    <w:p w:rsidR="00000000" w:rsidDel="00000000" w:rsidP="00000000" w:rsidRDefault="00000000" w:rsidRPr="00000000" w14:paraId="00000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Economic Operators (consortia) your electronic signature will be the signature </w:t>
      </w:r>
    </w:p>
    <w:p w:rsidR="00000000" w:rsidDel="00000000" w:rsidP="00000000" w:rsidRDefault="00000000" w:rsidRPr="00000000" w14:paraId="00000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that represents all members of the consortia as detailed within your </w:t>
      </w:r>
    </w:p>
    <w:p w:rsidR="00000000" w:rsidDel="00000000" w:rsidP="00000000" w:rsidRDefault="00000000" w:rsidRPr="00000000" w14:paraId="00000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9.6013641357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submission for this DPS. </w:t>
      </w:r>
    </w:p>
    <w:p w:rsidR="00000000" w:rsidDel="00000000" w:rsidP="00000000" w:rsidRDefault="00000000" w:rsidRPr="00000000" w14:paraId="00000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0.2738952636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Once you have ticked that you agree to the covenants above you will be </w:t>
      </w:r>
    </w:p>
    <w:p w:rsidR="00000000" w:rsidDel="00000000" w:rsidP="00000000" w:rsidRDefault="00000000" w:rsidRPr="00000000" w14:paraId="00000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91093444824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formally 'Appointed' to the DPS for Demand Management and Renewables </w:t>
      </w:r>
    </w:p>
    <w:p w:rsidR="00000000" w:rsidDel="00000000" w:rsidP="00000000" w:rsidRDefault="00000000" w:rsidRPr="00000000" w14:paraId="00000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9.01763916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Failure to tick that you agree at this stage will prevent you from securing your </w:t>
      </w:r>
    </w:p>
    <w:p w:rsidR="00000000" w:rsidDel="00000000" w:rsidP="00000000" w:rsidRDefault="00000000" w:rsidRPr="00000000" w14:paraId="00000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appointment on to the DPS for Demand Management and Renewables, as </w:t>
      </w:r>
    </w:p>
    <w:p w:rsidR="00000000" w:rsidDel="00000000" w:rsidP="00000000" w:rsidRDefault="00000000" w:rsidRPr="00000000" w14:paraId="00000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there will be no legally binding DMP Appointment Form between CCS and </w:t>
      </w:r>
    </w:p>
    <w:p w:rsidR="00000000" w:rsidDel="00000000" w:rsidP="00000000" w:rsidRDefault="00000000" w:rsidRPr="00000000" w14:paraId="00000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7.2472381591796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you. </w:t>
      </w:r>
    </w:p>
    <w:tbl>
      <w:tblPr>
        <w:tblStyle w:val="Table633"/>
        <w:tblW w:w="420.37139892578125" w:type="dxa"/>
        <w:jc w:val="left"/>
        <w:tblInd w:w="133.99032592773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76/79</w:t>
      </w:r>
    </w:p>
    <w:p w:rsidR="00000000" w:rsidDel="00000000" w:rsidP="00000000" w:rsidRDefault="00000000" w:rsidRPr="00000000" w14:paraId="00000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bl>
      <w:tblPr>
        <w:tblStyle w:val="Table634"/>
        <w:tblW w:w="420.37139892578125" w:type="dxa"/>
        <w:jc w:val="left"/>
        <w:tblInd w:w="-4962.883300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tl w:val="0"/>
              </w:rPr>
            </w:r>
          </w:p>
        </w:tc>
      </w:tr>
    </w:tbl>
    <w:p w:rsidR="00000000" w:rsidDel="00000000" w:rsidP="00000000" w:rsidRDefault="00000000" w:rsidRPr="00000000" w14:paraId="00000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5230" w:right="5230" w:header="0" w:footer="720"/>
          <w:cols w:equalWidth="0" w:num="2">
            <w:col w:space="0" w:w="720"/>
            <w:col w:space="0" w:w="72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 Agree </w:t>
      </w:r>
    </w:p>
    <w:p w:rsidR="00000000" w:rsidDel="00000000" w:rsidP="00000000" w:rsidRDefault="00000000" w:rsidRPr="00000000" w14:paraId="00000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3637695312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573486328125" w:line="240" w:lineRule="auto"/>
        <w:ind w:left="17.58354187011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Welcome to the Supplier Evidence Submission stage of the Demand </w:t>
      </w:r>
    </w:p>
    <w:p w:rsidR="00000000" w:rsidDel="00000000" w:rsidP="00000000" w:rsidRDefault="00000000" w:rsidRPr="00000000" w14:paraId="00000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6.495437622070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Management and Renewables DPS questionnaire. </w:t>
      </w:r>
    </w:p>
    <w:p w:rsidR="00000000" w:rsidDel="00000000" w:rsidP="00000000" w:rsidRDefault="00000000" w:rsidRPr="00000000" w14:paraId="00000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255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Supplier Evidence Submission stage allows you to upload the relevant </w:t>
      </w:r>
    </w:p>
    <w:p w:rsidR="00000000" w:rsidDel="00000000" w:rsidP="00000000" w:rsidRDefault="00000000" w:rsidRPr="00000000" w14:paraId="00000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documentation and evidence that you previously indicated you could provide. </w:t>
      </w:r>
    </w:p>
    <w:p w:rsidR="00000000" w:rsidDel="00000000" w:rsidP="00000000" w:rsidRDefault="00000000" w:rsidRPr="00000000" w14:paraId="00000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26.66358947753906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Not all evidence will be applicable to all suppliers. Applicable evidence will be </w:t>
      </w:r>
    </w:p>
    <w:p w:rsidR="00000000" w:rsidDel="00000000" w:rsidP="00000000" w:rsidRDefault="00000000" w:rsidRPr="00000000" w14:paraId="00000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requested at Call for Competition stage by the customer prior to award of a </w:t>
      </w:r>
    </w:p>
    <w:p w:rsidR="00000000" w:rsidDel="00000000" w:rsidP="00000000" w:rsidRDefault="00000000" w:rsidRPr="00000000" w14:paraId="00000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contract. </w:t>
      </w:r>
    </w:p>
    <w:p w:rsidR="00000000" w:rsidDel="00000000" w:rsidP="00000000" w:rsidRDefault="00000000" w:rsidRPr="00000000" w14:paraId="00000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380126953125" w:line="240" w:lineRule="auto"/>
        <w:ind w:left="29.18579101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be advised that there is currently no evidence submission </w:t>
      </w:r>
    </w:p>
    <w:p w:rsidR="00000000" w:rsidDel="00000000" w:rsidP="00000000" w:rsidRDefault="00000000" w:rsidRPr="00000000" w14:paraId="00000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5.4865264892578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required. </w:t>
      </w:r>
    </w:p>
    <w:p w:rsidR="00000000" w:rsidDel="00000000" w:rsidP="00000000" w:rsidRDefault="00000000" w:rsidRPr="00000000" w14:paraId="00000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3.67309570312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 copy of your standard payment terms for all of your supply chain </w:t>
      </w:r>
    </w:p>
    <w:p w:rsidR="00000000" w:rsidDel="00000000" w:rsidP="00000000" w:rsidRDefault="00000000" w:rsidRPr="00000000" w14:paraId="00000D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8916015625" w:line="240" w:lineRule="auto"/>
        <w:ind w:left="19.0969085693359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contracts </w:t>
      </w:r>
    </w:p>
    <w:p w:rsidR="00000000" w:rsidDel="00000000" w:rsidP="00000000" w:rsidRDefault="00000000" w:rsidRPr="00000000" w14:paraId="00000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4018554687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Evidence (pdf, image, max file size 5MB) </w:t>
      </w:r>
    </w:p>
    <w:p w:rsidR="00000000" w:rsidDel="00000000" w:rsidP="00000000" w:rsidRDefault="00000000" w:rsidRPr="00000000" w14:paraId="00000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40283203125" w:line="240" w:lineRule="auto"/>
        <w:ind w:left="17.667617797851562"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There is no limit to the number of files you can upload. </w:t>
      </w:r>
    </w:p>
    <w:tbl>
      <w:tblPr>
        <w:tblStyle w:val="Table635"/>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071380615234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Browse previous... </w:t>
      </w:r>
    </w:p>
    <w:p w:rsidR="00000000" w:rsidDel="00000000" w:rsidP="00000000" w:rsidRDefault="00000000" w:rsidRPr="00000000" w14:paraId="00000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7573852539062"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Details of the systems which are in place to ensure that suppliers are </w:t>
      </w:r>
    </w:p>
    <w:p w:rsidR="00000000" w:rsidDel="00000000" w:rsidP="00000000" w:rsidRDefault="00000000" w:rsidRPr="00000000" w14:paraId="00000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paid Promptly. </w:t>
      </w:r>
    </w:p>
    <w:p w:rsidR="00000000" w:rsidDel="00000000" w:rsidP="00000000" w:rsidRDefault="00000000" w:rsidRPr="00000000" w14:paraId="00000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43237304687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Evidence (pdf, image, max file size 5MB) </w:t>
      </w:r>
    </w:p>
    <w:p w:rsidR="00000000" w:rsidDel="00000000" w:rsidP="00000000" w:rsidRDefault="00000000" w:rsidRPr="00000000" w14:paraId="00000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17.667617797851562"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There is no limit to the number of files you can upload. </w:t>
      </w:r>
    </w:p>
    <w:tbl>
      <w:tblPr>
        <w:tblStyle w:val="Table636"/>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071380615234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Browse previous... </w:t>
      </w:r>
    </w:p>
    <w:p w:rsidR="00000000" w:rsidDel="00000000" w:rsidP="00000000" w:rsidRDefault="00000000" w:rsidRPr="00000000" w14:paraId="00000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7573852539062"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 copy of your procedures for resolving disputed invoices promptly </w:t>
      </w:r>
    </w:p>
    <w:p w:rsidR="00000000" w:rsidDel="00000000" w:rsidP="00000000" w:rsidRDefault="00000000" w:rsidRPr="00000000" w14:paraId="00000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Effectively. </w:t>
      </w:r>
    </w:p>
    <w:p w:rsidR="00000000" w:rsidDel="00000000" w:rsidP="00000000" w:rsidRDefault="00000000" w:rsidRPr="00000000" w14:paraId="00000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085449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77/79</w:t>
      </w:r>
    </w:p>
    <w:p w:rsidR="00000000" w:rsidDel="00000000" w:rsidP="00000000" w:rsidRDefault="00000000" w:rsidRPr="00000000" w14:paraId="00000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Evidence (pdf, image, max file size 5MB) </w:t>
      </w:r>
    </w:p>
    <w:p w:rsidR="00000000" w:rsidDel="00000000" w:rsidP="00000000" w:rsidRDefault="00000000" w:rsidRPr="00000000" w14:paraId="00000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4638671875" w:line="240" w:lineRule="auto"/>
        <w:ind w:left="17.667617797851562"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There is no limit to the number of files you can upload. </w:t>
      </w:r>
    </w:p>
    <w:tbl>
      <w:tblPr>
        <w:tblStyle w:val="Table637"/>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071380615234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Browse previous... </w:t>
      </w:r>
    </w:p>
    <w:p w:rsidR="00000000" w:rsidDel="00000000" w:rsidP="00000000" w:rsidRDefault="00000000" w:rsidRPr="00000000" w14:paraId="00000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75830078125"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Details of any payments of interest for late payments you have paid in </w:t>
      </w:r>
    </w:p>
    <w:p w:rsidR="00000000" w:rsidDel="00000000" w:rsidP="00000000" w:rsidRDefault="00000000" w:rsidRPr="00000000" w14:paraId="00000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the past 12 months or which became due during the past 12 months </w:t>
      </w:r>
    </w:p>
    <w:p w:rsidR="00000000" w:rsidDel="00000000" w:rsidP="00000000" w:rsidRDefault="00000000" w:rsidRPr="00000000" w14:paraId="00000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remain payable (contractually or under late payment legislation) </w:t>
      </w:r>
    </w:p>
    <w:p w:rsidR="00000000" w:rsidDel="00000000" w:rsidP="00000000" w:rsidRDefault="00000000" w:rsidRPr="00000000" w14:paraId="00000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20.9465026855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and, if any such payment has been made (or arose), an explanation as </w:t>
      </w:r>
    </w:p>
    <w:p w:rsidR="00000000" w:rsidDel="00000000" w:rsidP="00000000" w:rsidRDefault="00000000" w:rsidRPr="00000000" w14:paraId="00000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why this occurred and an outline of what remedial steps have been </w:t>
      </w:r>
    </w:p>
    <w:p w:rsidR="00000000" w:rsidDel="00000000" w:rsidP="00000000" w:rsidRDefault="00000000" w:rsidRPr="00000000" w14:paraId="00000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6.238327026367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taken to ensure this does not occur again. </w:t>
      </w:r>
    </w:p>
    <w:p w:rsidR="00000000" w:rsidDel="00000000" w:rsidP="00000000" w:rsidRDefault="00000000" w:rsidRPr="00000000" w14:paraId="00000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446289062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Evidence (pdf, image, max file size 5MB) </w:t>
      </w:r>
    </w:p>
    <w:p w:rsidR="00000000" w:rsidDel="00000000" w:rsidP="00000000" w:rsidRDefault="00000000" w:rsidRPr="00000000" w14:paraId="00000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17.667617797851562"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There is no limit to the number of files you can upload. </w:t>
      </w:r>
    </w:p>
    <w:tbl>
      <w:tblPr>
        <w:tblStyle w:val="Table638"/>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071380615234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Browse previous... </w:t>
      </w:r>
    </w:p>
    <w:p w:rsidR="00000000" w:rsidDel="00000000" w:rsidP="00000000" w:rsidRDefault="00000000" w:rsidRPr="00000000" w14:paraId="00000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7576904296875" w:line="240" w:lineRule="auto"/>
        <w:ind w:left="16.742782592773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A copy of your standard payment terms used with sub-contractors on </w:t>
      </w:r>
    </w:p>
    <w:p w:rsidR="00000000" w:rsidDel="00000000" w:rsidP="00000000" w:rsidRDefault="00000000" w:rsidRPr="00000000" w14:paraId="00000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7666015625" w:line="240" w:lineRule="auto"/>
        <w:ind w:left="22.964324951171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public sector contracts subject to PCR 2015. </w:t>
      </w:r>
    </w:p>
    <w:p w:rsidR="00000000" w:rsidDel="00000000" w:rsidP="00000000" w:rsidRDefault="00000000" w:rsidRPr="00000000" w14:paraId="00000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221435546875" w:line="240" w:lineRule="auto"/>
        <w:ind w:left="30.098571777343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Evidence (pdf, image, max file size 5MB) </w:t>
      </w:r>
    </w:p>
    <w:p w:rsidR="00000000" w:rsidDel="00000000" w:rsidP="00000000" w:rsidRDefault="00000000" w:rsidRPr="00000000" w14:paraId="00000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59033203125" w:line="240" w:lineRule="auto"/>
        <w:ind w:left="17.667617797851562" w:right="0" w:firstLine="0"/>
        <w:jc w:val="left"/>
        <w:rPr>
          <w:rFonts w:ascii="Arial" w:cs="Arial" w:eastAsia="Arial" w:hAnsi="Arial"/>
          <w:b w:val="0"/>
          <w:i w:val="0"/>
          <w:smallCaps w:val="0"/>
          <w:strike w:val="0"/>
          <w:color w:val="6f777b"/>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6f777b"/>
          <w:sz w:val="18.015918731689453"/>
          <w:szCs w:val="18.015918731689453"/>
          <w:u w:val="none"/>
          <w:shd w:fill="auto" w:val="clear"/>
          <w:vertAlign w:val="baseline"/>
          <w:rtl w:val="0"/>
        </w:rPr>
        <w:t xml:space="preserve">There is no limit to the number of files you can upload. </w:t>
      </w:r>
    </w:p>
    <w:tbl>
      <w:tblPr>
        <w:tblStyle w:val="Table639"/>
        <w:tblW w:w="3891.43844604492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91.438446044922"/>
        <w:tblGridChange w:id="0">
          <w:tblGrid>
            <w:gridCol w:w="3891.438446044922"/>
          </w:tblGrid>
        </w:tblGridChange>
      </w:tblGrid>
      <w:tr>
        <w:trPr>
          <w:cantSplit w:val="0"/>
          <w:trHeight w:val="52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9601135253906" w:right="0" w:firstLine="0"/>
              <w:jc w:val="left"/>
              <w:rPr>
                <w:rFonts w:ascii="Arial" w:cs="Arial" w:eastAsia="Arial" w:hAnsi="Arial"/>
                <w:b w:val="0"/>
                <w:i w:val="0"/>
                <w:smallCaps w:val="0"/>
                <w:strike w:val="0"/>
                <w:color w:val="000000"/>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00000"/>
                <w:sz w:val="38.033606211344406"/>
                <w:szCs w:val="38.0336062113444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616161"/>
                <w:sz w:val="38.033606211344406"/>
                <w:szCs w:val="38.033606211344406"/>
                <w:u w:val="none"/>
                <w:shd w:fill="auto" w:val="clear"/>
                <w:vertAlign w:val="subscript"/>
                <w:rtl w:val="0"/>
              </w:rPr>
              <w:t xml:space="preserve">No file selected </w:t>
            </w:r>
            <w:r w:rsidDel="00000000" w:rsidR="00000000" w:rsidRPr="00000000">
              <w:rPr>
                <w:rFonts w:ascii="Arial" w:cs="Arial" w:eastAsia="Arial" w:hAnsi="Arial"/>
                <w:b w:val="0"/>
                <w:i w:val="0"/>
                <w:smallCaps w:val="0"/>
                <w:strike w:val="0"/>
                <w:color w:val="000000"/>
                <w:sz w:val="22.82016372680664"/>
                <w:szCs w:val="22.82016372680664"/>
                <w:u w:val="none"/>
                <w:shd w:fill="auto" w:val="clear"/>
                <w:vertAlign w:val="baseline"/>
                <w:rtl w:val="0"/>
              </w:rPr>
              <w:t xml:space="preserve">hoose File</w:t>
            </w:r>
          </w:p>
        </w:tc>
      </w:tr>
    </w:tbl>
    <w:p w:rsidR="00000000" w:rsidDel="00000000" w:rsidP="00000000" w:rsidRDefault="00000000" w:rsidRPr="00000000" w14:paraId="00000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07138061523438"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Browse previous... </w:t>
      </w:r>
    </w:p>
    <w:p w:rsidR="00000000" w:rsidDel="00000000" w:rsidP="00000000" w:rsidRDefault="00000000" w:rsidRPr="00000000" w14:paraId="00000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2.7850341796875"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475097656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Thank you for completing the Evidence Submission stage of Demand </w:t>
      </w:r>
    </w:p>
    <w:p w:rsidR="00000000" w:rsidDel="00000000" w:rsidP="00000000" w:rsidRDefault="00000000" w:rsidRPr="00000000" w14:paraId="00000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07177734375" w:line="240" w:lineRule="auto"/>
        <w:ind w:left="26.495437622070312"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Management and Renewables DPS questionnaire. </w:t>
      </w:r>
    </w:p>
    <w:p w:rsidR="00000000" w:rsidDel="00000000" w:rsidP="00000000" w:rsidRDefault="00000000" w:rsidRPr="00000000" w14:paraId="00000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333251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review your answers and make any final amendments prior to submit your </w:t>
      </w:r>
    </w:p>
    <w:p w:rsidR="00000000" w:rsidDel="00000000" w:rsidP="00000000" w:rsidRDefault="00000000" w:rsidRPr="00000000" w14:paraId="00000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0.61019897460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evidence, please click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Save and view answers</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below. </w:t>
      </w:r>
    </w:p>
    <w:p w:rsidR="00000000" w:rsidDel="00000000" w:rsidP="00000000" w:rsidRDefault="00000000" w:rsidRPr="00000000" w14:paraId="00000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130126953125" w:line="240" w:lineRule="auto"/>
        <w:ind w:left="17.41539001464843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To submit your evidence to your Demand Management and Renewables DPS </w:t>
      </w:r>
    </w:p>
    <w:p w:rsidR="00000000" w:rsidDel="00000000" w:rsidP="00000000" w:rsidRDefault="00000000" w:rsidRPr="00000000" w14:paraId="00000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9501953125" w:line="240" w:lineRule="auto"/>
        <w:ind w:left="18.256149291992188"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questionnaire, please click "</w:t>
      </w:r>
      <w:r w:rsidDel="00000000" w:rsidR="00000000" w:rsidRPr="00000000">
        <w:rPr>
          <w:rFonts w:ascii="Arial" w:cs="Arial" w:eastAsia="Arial" w:hAnsi="Arial"/>
          <w:b w:val="1"/>
          <w:i w:val="0"/>
          <w:smallCaps w:val="0"/>
          <w:strike w:val="0"/>
          <w:color w:val="0b0c0c"/>
          <w:sz w:val="16.814857482910156"/>
          <w:szCs w:val="16.814857482910156"/>
          <w:u w:val="none"/>
          <w:shd w:fill="auto" w:val="clear"/>
          <w:vertAlign w:val="baseline"/>
          <w:rtl w:val="0"/>
        </w:rPr>
        <w:t xml:space="preserve">Submit Evidence</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 below. </w:t>
      </w:r>
    </w:p>
    <w:p w:rsidR="00000000" w:rsidDel="00000000" w:rsidP="00000000" w:rsidRDefault="00000000" w:rsidRPr="00000000" w14:paraId="00000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6.96044921875"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78/79</w:t>
      </w:r>
    </w:p>
    <w:p w:rsidR="00000000" w:rsidDel="00000000" w:rsidP="00000000" w:rsidRDefault="00000000" w:rsidRPr="00000000" w14:paraId="00000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467742919921875" w:right="0" w:firstLine="0"/>
        <w:jc w:val="left"/>
        <w:rPr>
          <w:rFonts w:ascii="Arial" w:cs="Arial" w:eastAsia="Arial" w:hAnsi="Arial"/>
          <w:b w:val="1"/>
          <w:i w:val="0"/>
          <w:smallCaps w:val="0"/>
          <w:strike w:val="0"/>
          <w:color w:val="0b0c0c"/>
          <w:sz w:val="38.4339599609375"/>
          <w:szCs w:val="38.4339599609375"/>
          <w:u w:val="none"/>
          <w:shd w:fill="auto" w:val="clear"/>
          <w:vertAlign w:val="baseline"/>
        </w:r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p>
    <w:p w:rsidR="00000000" w:rsidDel="00000000" w:rsidP="00000000" w:rsidRDefault="00000000" w:rsidRPr="00000000" w14:paraId="00000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495361328125" w:line="240" w:lineRule="auto"/>
        <w:ind w:left="21.9554138183593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Confirm the rejection of this supplier for Demand Management and </w:t>
      </w:r>
    </w:p>
    <w:p w:rsidR="00000000" w:rsidDel="00000000" w:rsidP="00000000" w:rsidRDefault="00000000" w:rsidRPr="00000000" w14:paraId="00000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1376953125" w:line="240" w:lineRule="auto"/>
        <w:ind w:left="29.522094726562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Renewables DPS. </w:t>
      </w:r>
    </w:p>
    <w:p w:rsidR="00000000" w:rsidDel="00000000" w:rsidP="00000000" w:rsidRDefault="00000000" w:rsidRPr="00000000" w14:paraId="00000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640"/>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263.572998046875" w:header="0" w:footer="720"/>
          <w:cols w:equalWidth="0" w:num="2">
            <w:col w:space="0" w:w="840"/>
            <w:col w:space="0" w:w="8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 Confirm </w:t>
      </w:r>
    </w:p>
    <w:p w:rsidR="00000000" w:rsidDel="00000000" w:rsidP="00000000" w:rsidRDefault="00000000" w:rsidRPr="00000000" w14:paraId="00000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247802734375" w:line="239.97010231018066" w:lineRule="auto"/>
        <w:ind w:left="21.450958251953125" w:right="4359.15283203125" w:firstLine="8.647613525390625"/>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Explain the reason for rejection of this supplier for Demand Management and Renewables DPSQ. </w:t>
      </w:r>
    </w:p>
    <w:tbl>
      <w:tblPr>
        <w:tblStyle w:val="Table641"/>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494873046875"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Date supplier can reapply </w:t>
      </w:r>
    </w:p>
    <w:p w:rsidR="00000000" w:rsidDel="00000000" w:rsidP="00000000" w:rsidRDefault="00000000" w:rsidRPr="00000000" w14:paraId="00000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Day </w:t>
      </w:r>
    </w:p>
    <w:p w:rsidR="00000000" w:rsidDel="00000000" w:rsidP="00000000" w:rsidRDefault="00000000" w:rsidRPr="00000000" w14:paraId="00000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(DD) </w:t>
      </w:r>
    </w:p>
    <w:tbl>
      <w:tblPr>
        <w:tblStyle w:val="Table642"/>
        <w:tblW w:w="528.466949462890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8341331481934"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Month (MM) </w:t>
      </w:r>
    </w:p>
    <w:tbl>
      <w:tblPr>
        <w:tblStyle w:val="Table643"/>
        <w:tblW w:w="528.4669494628906" w:type="dxa"/>
        <w:jc w:val="left"/>
        <w:tblInd w:w="80.84899902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8.4669494628906"/>
        <w:tblGridChange w:id="0">
          <w:tblGrid>
            <w:gridCol w:w="528.4669494628906"/>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Year </w:t>
      </w:r>
    </w:p>
    <w:p w:rsidR="00000000" w:rsidDel="00000000" w:rsidP="00000000" w:rsidRDefault="00000000" w:rsidRPr="00000000" w14:paraId="00000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6513671875" w:line="240"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(YYYY) </w:t>
      </w:r>
    </w:p>
    <w:tbl>
      <w:tblPr>
        <w:tblStyle w:val="Table644"/>
        <w:tblW w:w="696.6156005859375" w:type="dxa"/>
        <w:jc w:val="left"/>
        <w:tblInd w:w="161.697998046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6.6156005859375"/>
        <w:tblGridChange w:id="0">
          <w:tblGrid>
            <w:gridCol w:w="696.6156005859375"/>
          </w:tblGrid>
        </w:tblGridChange>
      </w:tblGrid>
      <w:tr>
        <w:trPr>
          <w:cantSplit w:val="0"/>
          <w:trHeight w:val="44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6840" w:w="11900" w:orient="portrait"/>
          <w:pgMar w:bottom="707.5" w:top="386.6015625" w:left="867.0106506347656" w:right="8414.675903320312" w:header="0" w:footer="720"/>
          <w:cols w:equalWidth="0" w:num="3">
            <w:col w:space="0" w:w="880"/>
            <w:col w:space="0" w:w="880"/>
            <w:col w:space="0" w:w="880"/>
          </w:cols>
        </w:sectPr>
      </w:pPr>
      <w:r w:rsidDel="00000000" w:rsidR="00000000" w:rsidRPr="00000000">
        <w:rPr>
          <w:rtl w:val="0"/>
        </w:rPr>
      </w:r>
    </w:p>
    <w:p w:rsidR="00000000" w:rsidDel="00000000" w:rsidP="00000000" w:rsidRDefault="00000000" w:rsidRPr="00000000" w14:paraId="00000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06.042652130127" w:lineRule="auto"/>
        <w:ind w:left="29.185791015625" w:right="2955.9222412109375" w:firstLine="2.281951904296875"/>
        <w:jc w:val="left"/>
        <w:rPr>
          <w:rFonts w:ascii="Arial" w:cs="Arial" w:eastAsia="Arial" w:hAnsi="Arial"/>
          <w:b w:val="0"/>
          <w:i w:val="0"/>
          <w:smallCaps w:val="0"/>
          <w:strike w:val="0"/>
          <w:color w:val="0b0c0c"/>
          <w:sz w:val="16.814857482910156"/>
          <w:szCs w:val="16.814857482910156"/>
          <w:u w:val="none"/>
          <w:shd w:fill="auto" w:val="clear"/>
          <w:vertAlign w:val="baseline"/>
        </w:rPr>
        <w:sectPr>
          <w:type w:val="continuous"/>
          <w:pgSz w:h="16840" w:w="11900" w:orient="portrait"/>
          <w:pgMar w:bottom="707.5" w:top="386.6015625" w:left="853.1263732910156" w:right="861.973876953125" w:header="0" w:footer="720"/>
          <w:cols w:equalWidth="0" w:num="1">
            <w:col w:space="0" w:w="10184.89974975586"/>
          </w:cols>
        </w:sectPr>
      </w:pPr>
      <w:r w:rsidDel="00000000" w:rsidR="00000000" w:rsidRPr="00000000">
        <w:rPr>
          <w:rFonts w:ascii="Arial" w:cs="Arial" w:eastAsia="Arial" w:hAnsi="Arial"/>
          <w:b w:val="1"/>
          <w:i w:val="0"/>
          <w:smallCaps w:val="0"/>
          <w:strike w:val="0"/>
          <w:color w:val="0b0c0c"/>
          <w:sz w:val="38.4339599609375"/>
          <w:szCs w:val="38.4339599609375"/>
          <w:u w:val="none"/>
          <w:shd w:fill="auto" w:val="clear"/>
          <w:vertAlign w:val="baseline"/>
          <w:rtl w:val="0"/>
        </w:rPr>
        <w:t xml:space="preserve">Demand Management and Renewables </w:t>
      </w:r>
      <w:r w:rsidDel="00000000" w:rsidR="00000000" w:rsidRPr="00000000">
        <w:rPr>
          <w:rFonts w:ascii="Arial" w:cs="Arial" w:eastAsia="Arial" w:hAnsi="Arial"/>
          <w:b w:val="0"/>
          <w:i w:val="0"/>
          <w:smallCaps w:val="0"/>
          <w:strike w:val="0"/>
          <w:color w:val="0b0c0c"/>
          <w:sz w:val="16.814857482910156"/>
          <w:szCs w:val="16.814857482910156"/>
          <w:u w:val="none"/>
          <w:shd w:fill="auto" w:val="clear"/>
          <w:vertAlign w:val="baseline"/>
          <w:rtl w:val="0"/>
        </w:rPr>
        <w:t xml:space="preserve">Please confirm if you wish to reappoint this supplier. </w:t>
      </w:r>
    </w:p>
    <w:p w:rsidR="00000000" w:rsidDel="00000000" w:rsidP="00000000" w:rsidRDefault="00000000" w:rsidRPr="00000000" w14:paraId="00000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bl>
      <w:tblPr>
        <w:tblStyle w:val="Table645"/>
        <w:tblW w:w="420.371398925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37139892578125"/>
        <w:tblGridChange w:id="0">
          <w:tblGrid>
            <w:gridCol w:w="420.37139892578125"/>
          </w:tblGrid>
        </w:tblGridChange>
      </w:tblGrid>
      <w:tr>
        <w:trPr>
          <w:cantSplit w:val="0"/>
          <w:trHeight w:val="42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6.814857482910156"/>
                <w:szCs w:val="16.814857482910156"/>
                <w:u w:val="none"/>
                <w:shd w:fill="auto" w:val="clear"/>
                <w:vertAlign w:val="baseline"/>
              </w:rPr>
            </w:pPr>
            <w:r w:rsidDel="00000000" w:rsidR="00000000" w:rsidRPr="00000000">
              <w:rPr>
                <w:rtl w:val="0"/>
              </w:rPr>
            </w:r>
          </w:p>
        </w:tc>
      </w:tr>
    </w:tbl>
    <w:p w:rsidR="00000000" w:rsidDel="00000000" w:rsidP="00000000" w:rsidRDefault="00000000" w:rsidRPr="00000000" w14:paraId="00000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b0c0c"/>
          <w:sz w:val="22.82016372680664"/>
          <w:szCs w:val="22.82016372680664"/>
          <w:u w:val="none"/>
          <w:shd w:fill="auto" w:val="clear"/>
          <w:vertAlign w:val="baseline"/>
        </w:rPr>
        <w:sectPr>
          <w:type w:val="continuous"/>
          <w:pgSz w:h="16840" w:w="11900" w:orient="portrait"/>
          <w:pgMar w:bottom="707.5" w:top="386.6015625" w:left="987.11669921875" w:right="9263.572998046875" w:header="0" w:footer="720"/>
          <w:cols w:equalWidth="0" w:num="2">
            <w:col w:space="0" w:w="840"/>
            <w:col w:space="0" w:w="840"/>
          </w:cols>
        </w:sectPr>
      </w:pPr>
      <w:r w:rsidDel="00000000" w:rsidR="00000000" w:rsidRPr="00000000">
        <w:rPr>
          <w:rFonts w:ascii="Arial" w:cs="Arial" w:eastAsia="Arial" w:hAnsi="Arial"/>
          <w:b w:val="0"/>
          <w:i w:val="0"/>
          <w:smallCaps w:val="0"/>
          <w:strike w:val="0"/>
          <w:color w:val="0b0c0c"/>
          <w:sz w:val="22.82016372680664"/>
          <w:szCs w:val="22.82016372680664"/>
          <w:u w:val="none"/>
          <w:shd w:fill="auto" w:val="clear"/>
          <w:vertAlign w:val="baseline"/>
          <w:rtl w:val="0"/>
        </w:rPr>
        <w:t xml:space="preserve">I Confirm </w:t>
      </w:r>
    </w:p>
    <w:p w:rsidR="00000000" w:rsidDel="00000000" w:rsidP="00000000" w:rsidRDefault="00000000" w:rsidRPr="00000000" w14:paraId="00000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24658203125" w:line="240" w:lineRule="auto"/>
        <w:ind w:left="30.278778076171875"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Fonts w:ascii="Arial" w:cs="Arial" w:eastAsia="Arial" w:hAnsi="Arial"/>
          <w:b w:val="0"/>
          <w:i w:val="0"/>
          <w:smallCaps w:val="0"/>
          <w:strike w:val="0"/>
          <w:color w:val="0b0c0c"/>
          <w:sz w:val="18.015918731689453"/>
          <w:szCs w:val="18.015918731689453"/>
          <w:u w:val="none"/>
          <w:shd w:fill="auto" w:val="clear"/>
          <w:vertAlign w:val="baseline"/>
          <w:rtl w:val="0"/>
        </w:rPr>
        <w:t xml:space="preserve">Please provide a reason </w:t>
      </w:r>
    </w:p>
    <w:tbl>
      <w:tblPr>
        <w:tblStyle w:val="Table646"/>
        <w:tblW w:w="5296.680145263672" w:type="dxa"/>
        <w:jc w:val="left"/>
        <w:tblInd w:w="13.8842773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96.680145263672"/>
        <w:tblGridChange w:id="0">
          <w:tblGrid>
            <w:gridCol w:w="5296.680145263672"/>
          </w:tblGrid>
        </w:tblGridChange>
      </w:tblGrid>
      <w:tr>
        <w:trPr>
          <w:cantSplit w:val="0"/>
          <w:trHeight w:val="4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b0c0c"/>
                <w:sz w:val="18.015918731689453"/>
                <w:szCs w:val="18.015918731689453"/>
                <w:u w:val="none"/>
                <w:shd w:fill="auto" w:val="clear"/>
                <w:vertAlign w:val="baseline"/>
              </w:rPr>
            </w:pPr>
            <w:r w:rsidDel="00000000" w:rsidR="00000000" w:rsidRPr="00000000">
              <w:rPr>
                <w:rtl w:val="0"/>
              </w:rPr>
            </w:r>
          </w:p>
        </w:tc>
      </w:tr>
    </w:tbl>
    <w:p w:rsidR="00000000" w:rsidDel="00000000" w:rsidP="00000000" w:rsidRDefault="00000000" w:rsidRPr="00000000" w14:paraId="00000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15.61379623413086"/>
          <w:szCs w:val="15.61379623413086"/>
          <w:u w:val="none"/>
          <w:shd w:fill="auto" w:val="clear"/>
          <w:vertAlign w:val="baseline"/>
        </w:rPr>
      </w:pPr>
      <w:r w:rsidDel="00000000" w:rsidR="00000000" w:rsidRPr="00000000">
        <w:rPr>
          <w:rFonts w:ascii="Arial" w:cs="Arial" w:eastAsia="Arial" w:hAnsi="Arial"/>
          <w:b w:val="0"/>
          <w:i w:val="0"/>
          <w:smallCaps w:val="0"/>
          <w:strike w:val="0"/>
          <w:color w:val="808080"/>
          <w:sz w:val="15.61379623413086"/>
          <w:szCs w:val="15.61379623413086"/>
          <w:u w:val="none"/>
          <w:shd w:fill="auto" w:val="clear"/>
          <w:vertAlign w:val="baseline"/>
          <w:rtl w:val="0"/>
        </w:rPr>
        <w:t xml:space="preserve">© 2022 NQC Ltd All Rights Reserved. 79/79</w:t>
      </w:r>
    </w:p>
    <w:sectPr>
      <w:type w:val="continuous"/>
      <w:pgSz w:h="16840" w:w="11900" w:orient="portrait"/>
      <w:pgMar w:bottom="707.5" w:top="386.6015625" w:left="853.1263732910156" w:right="861.973876953125" w:header="0" w:footer="720"/>
      <w:cols w:equalWidth="0" w:num="1">
        <w:col w:space="0" w:w="10184.89974975586"/>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00.0" w:type="dxa"/>
        <w:left w:w="100.0" w:type="dxa"/>
        <w:bottom w:w="100.0" w:type="dxa"/>
        <w:right w:w="100.0" w:type="dxa"/>
      </w:tblCellMar>
    </w:tblPr>
  </w:style>
  <w:style w:type="table" w:styleId="Table88">
    <w:basedOn w:val="TableNormal"/>
    <w:tblPr>
      <w:tblStyleRowBandSize w:val="1"/>
      <w:tblStyleColBandSize w:val="1"/>
      <w:tblCellMar>
        <w:top w:w="100.0" w:type="dxa"/>
        <w:left w:w="100.0" w:type="dxa"/>
        <w:bottom w:w="100.0" w:type="dxa"/>
        <w:right w:w="100.0" w:type="dxa"/>
      </w:tblCellMar>
    </w:tblPr>
  </w:style>
  <w:style w:type="table" w:styleId="Table89">
    <w:basedOn w:val="TableNormal"/>
    <w:tblPr>
      <w:tblStyleRowBandSize w:val="1"/>
      <w:tblStyleColBandSize w:val="1"/>
      <w:tblCellMar>
        <w:top w:w="100.0" w:type="dxa"/>
        <w:left w:w="100.0" w:type="dxa"/>
        <w:bottom w:w="100.0" w:type="dxa"/>
        <w:right w:w="100.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00.0" w:type="dxa"/>
        <w:left w:w="100.0" w:type="dxa"/>
        <w:bottom w:w="100.0" w:type="dxa"/>
        <w:right w:w="100.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00.0" w:type="dxa"/>
        <w:left w:w="100.0" w:type="dxa"/>
        <w:bottom w:w="100.0" w:type="dxa"/>
        <w:right w:w="100.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00.0" w:type="dxa"/>
        <w:left w:w="100.0" w:type="dxa"/>
        <w:bottom w:w="100.0" w:type="dxa"/>
        <w:right w:w="100.0" w:type="dxa"/>
      </w:tblCellMar>
    </w:tblPr>
  </w:style>
  <w:style w:type="table" w:styleId="Table100">
    <w:basedOn w:val="TableNormal"/>
    <w:tblPr>
      <w:tblStyleRowBandSize w:val="1"/>
      <w:tblStyleColBandSize w:val="1"/>
      <w:tblCellMar>
        <w:top w:w="100.0" w:type="dxa"/>
        <w:left w:w="100.0" w:type="dxa"/>
        <w:bottom w:w="100.0" w:type="dxa"/>
        <w:right w:w="100.0" w:type="dxa"/>
      </w:tblCellMar>
    </w:tblPr>
  </w:style>
  <w:style w:type="table" w:styleId="Table101">
    <w:basedOn w:val="TableNormal"/>
    <w:tblPr>
      <w:tblStyleRowBandSize w:val="1"/>
      <w:tblStyleColBandSize w:val="1"/>
      <w:tblCellMar>
        <w:top w:w="100.0" w:type="dxa"/>
        <w:left w:w="100.0" w:type="dxa"/>
        <w:bottom w:w="100.0" w:type="dxa"/>
        <w:right w:w="100.0" w:type="dxa"/>
      </w:tblCellMar>
    </w:tblPr>
  </w:style>
  <w:style w:type="table" w:styleId="Table102">
    <w:basedOn w:val="TableNormal"/>
    <w:tblPr>
      <w:tblStyleRowBandSize w:val="1"/>
      <w:tblStyleColBandSize w:val="1"/>
      <w:tblCellMar>
        <w:top w:w="100.0" w:type="dxa"/>
        <w:left w:w="100.0" w:type="dxa"/>
        <w:bottom w:w="100.0" w:type="dxa"/>
        <w:right w:w="100.0" w:type="dxa"/>
      </w:tblCellMar>
    </w:tblPr>
  </w:style>
  <w:style w:type="table" w:styleId="Table103">
    <w:basedOn w:val="TableNormal"/>
    <w:tblPr>
      <w:tblStyleRowBandSize w:val="1"/>
      <w:tblStyleColBandSize w:val="1"/>
      <w:tblCellMar>
        <w:top w:w="100.0" w:type="dxa"/>
        <w:left w:w="100.0" w:type="dxa"/>
        <w:bottom w:w="100.0" w:type="dxa"/>
        <w:right w:w="100.0" w:type="dxa"/>
      </w:tblCellMar>
    </w:tblPr>
  </w:style>
  <w:style w:type="table" w:styleId="Table104">
    <w:basedOn w:val="TableNormal"/>
    <w:tblPr>
      <w:tblStyleRowBandSize w:val="1"/>
      <w:tblStyleColBandSize w:val="1"/>
      <w:tblCellMar>
        <w:top w:w="100.0" w:type="dxa"/>
        <w:left w:w="100.0" w:type="dxa"/>
        <w:bottom w:w="100.0" w:type="dxa"/>
        <w:right w:w="100.0" w:type="dxa"/>
      </w:tblCellMar>
    </w:tblPr>
  </w:style>
  <w:style w:type="table" w:styleId="Table105">
    <w:basedOn w:val="TableNormal"/>
    <w:tblPr>
      <w:tblStyleRowBandSize w:val="1"/>
      <w:tblStyleColBandSize w:val="1"/>
      <w:tblCellMar>
        <w:top w:w="100.0" w:type="dxa"/>
        <w:left w:w="100.0" w:type="dxa"/>
        <w:bottom w:w="100.0" w:type="dxa"/>
        <w:right w:w="100.0" w:type="dxa"/>
      </w:tblCellMar>
    </w:tblPr>
  </w:style>
  <w:style w:type="table" w:styleId="Table106">
    <w:basedOn w:val="TableNormal"/>
    <w:tblPr>
      <w:tblStyleRowBandSize w:val="1"/>
      <w:tblStyleColBandSize w:val="1"/>
      <w:tblCellMar>
        <w:top w:w="100.0" w:type="dxa"/>
        <w:left w:w="100.0" w:type="dxa"/>
        <w:bottom w:w="100.0" w:type="dxa"/>
        <w:right w:w="100.0" w:type="dxa"/>
      </w:tblCellMar>
    </w:tblPr>
  </w:style>
  <w:style w:type="table" w:styleId="Table107">
    <w:basedOn w:val="TableNormal"/>
    <w:tblPr>
      <w:tblStyleRowBandSize w:val="1"/>
      <w:tblStyleColBandSize w:val="1"/>
      <w:tblCellMar>
        <w:top w:w="100.0" w:type="dxa"/>
        <w:left w:w="100.0" w:type="dxa"/>
        <w:bottom w:w="100.0" w:type="dxa"/>
        <w:right w:w="100.0" w:type="dxa"/>
      </w:tblCellMar>
    </w:tblPr>
  </w:style>
  <w:style w:type="table" w:styleId="Table108">
    <w:basedOn w:val="TableNormal"/>
    <w:tblPr>
      <w:tblStyleRowBandSize w:val="1"/>
      <w:tblStyleColBandSize w:val="1"/>
      <w:tblCellMar>
        <w:top w:w="100.0" w:type="dxa"/>
        <w:left w:w="100.0" w:type="dxa"/>
        <w:bottom w:w="100.0" w:type="dxa"/>
        <w:right w:w="100.0" w:type="dxa"/>
      </w:tblCellMar>
    </w:tblPr>
  </w:style>
  <w:style w:type="table" w:styleId="Table109">
    <w:basedOn w:val="TableNormal"/>
    <w:tblPr>
      <w:tblStyleRowBandSize w:val="1"/>
      <w:tblStyleColBandSize w:val="1"/>
      <w:tblCellMar>
        <w:top w:w="100.0" w:type="dxa"/>
        <w:left w:w="100.0" w:type="dxa"/>
        <w:bottom w:w="100.0" w:type="dxa"/>
        <w:right w:w="100.0" w:type="dxa"/>
      </w:tblCellMar>
    </w:tblPr>
  </w:style>
  <w:style w:type="table" w:styleId="Table110">
    <w:basedOn w:val="TableNormal"/>
    <w:tblPr>
      <w:tblStyleRowBandSize w:val="1"/>
      <w:tblStyleColBandSize w:val="1"/>
      <w:tblCellMar>
        <w:top w:w="100.0" w:type="dxa"/>
        <w:left w:w="100.0" w:type="dxa"/>
        <w:bottom w:w="100.0" w:type="dxa"/>
        <w:right w:w="100.0" w:type="dxa"/>
      </w:tblCellMar>
    </w:tblPr>
  </w:style>
  <w:style w:type="table" w:styleId="Table111">
    <w:basedOn w:val="TableNormal"/>
    <w:tblPr>
      <w:tblStyleRowBandSize w:val="1"/>
      <w:tblStyleColBandSize w:val="1"/>
      <w:tblCellMar>
        <w:top w:w="100.0" w:type="dxa"/>
        <w:left w:w="100.0" w:type="dxa"/>
        <w:bottom w:w="100.0" w:type="dxa"/>
        <w:right w:w="100.0" w:type="dxa"/>
      </w:tblCellMar>
    </w:tblPr>
  </w:style>
  <w:style w:type="table" w:styleId="Table112">
    <w:basedOn w:val="TableNormal"/>
    <w:tblPr>
      <w:tblStyleRowBandSize w:val="1"/>
      <w:tblStyleColBandSize w:val="1"/>
      <w:tblCellMar>
        <w:top w:w="100.0" w:type="dxa"/>
        <w:left w:w="100.0" w:type="dxa"/>
        <w:bottom w:w="100.0" w:type="dxa"/>
        <w:right w:w="100.0" w:type="dxa"/>
      </w:tblCellMar>
    </w:tblPr>
  </w:style>
  <w:style w:type="table" w:styleId="Table113">
    <w:basedOn w:val="TableNormal"/>
    <w:tblPr>
      <w:tblStyleRowBandSize w:val="1"/>
      <w:tblStyleColBandSize w:val="1"/>
      <w:tblCellMar>
        <w:top w:w="100.0" w:type="dxa"/>
        <w:left w:w="100.0" w:type="dxa"/>
        <w:bottom w:w="100.0" w:type="dxa"/>
        <w:right w:w="100.0" w:type="dxa"/>
      </w:tblCellMar>
    </w:tblPr>
  </w:style>
  <w:style w:type="table" w:styleId="Table114">
    <w:basedOn w:val="TableNormal"/>
    <w:tblPr>
      <w:tblStyleRowBandSize w:val="1"/>
      <w:tblStyleColBandSize w:val="1"/>
      <w:tblCellMar>
        <w:top w:w="100.0" w:type="dxa"/>
        <w:left w:w="100.0" w:type="dxa"/>
        <w:bottom w:w="100.0" w:type="dxa"/>
        <w:right w:w="100.0" w:type="dxa"/>
      </w:tblCellMar>
    </w:tblPr>
  </w:style>
  <w:style w:type="table" w:styleId="Table115">
    <w:basedOn w:val="TableNormal"/>
    <w:tblPr>
      <w:tblStyleRowBandSize w:val="1"/>
      <w:tblStyleColBandSize w:val="1"/>
      <w:tblCellMar>
        <w:top w:w="100.0" w:type="dxa"/>
        <w:left w:w="100.0" w:type="dxa"/>
        <w:bottom w:w="100.0" w:type="dxa"/>
        <w:right w:w="100.0" w:type="dxa"/>
      </w:tblCellMar>
    </w:tblPr>
  </w:style>
  <w:style w:type="table" w:styleId="Table116">
    <w:basedOn w:val="TableNormal"/>
    <w:tblPr>
      <w:tblStyleRowBandSize w:val="1"/>
      <w:tblStyleColBandSize w:val="1"/>
      <w:tblCellMar>
        <w:top w:w="100.0" w:type="dxa"/>
        <w:left w:w="100.0" w:type="dxa"/>
        <w:bottom w:w="100.0" w:type="dxa"/>
        <w:right w:w="100.0" w:type="dxa"/>
      </w:tblCellMar>
    </w:tblPr>
  </w:style>
  <w:style w:type="table" w:styleId="Table117">
    <w:basedOn w:val="TableNormal"/>
    <w:tblPr>
      <w:tblStyleRowBandSize w:val="1"/>
      <w:tblStyleColBandSize w:val="1"/>
      <w:tblCellMar>
        <w:top w:w="100.0" w:type="dxa"/>
        <w:left w:w="100.0" w:type="dxa"/>
        <w:bottom w:w="100.0" w:type="dxa"/>
        <w:right w:w="100.0" w:type="dxa"/>
      </w:tblCellMar>
    </w:tblPr>
  </w:style>
  <w:style w:type="table" w:styleId="Table118">
    <w:basedOn w:val="TableNormal"/>
    <w:tblPr>
      <w:tblStyleRowBandSize w:val="1"/>
      <w:tblStyleColBandSize w:val="1"/>
      <w:tblCellMar>
        <w:top w:w="100.0" w:type="dxa"/>
        <w:left w:w="100.0" w:type="dxa"/>
        <w:bottom w:w="100.0" w:type="dxa"/>
        <w:right w:w="100.0" w:type="dxa"/>
      </w:tblCellMar>
    </w:tblPr>
  </w:style>
  <w:style w:type="table" w:styleId="Table119">
    <w:basedOn w:val="TableNormal"/>
    <w:tblPr>
      <w:tblStyleRowBandSize w:val="1"/>
      <w:tblStyleColBandSize w:val="1"/>
      <w:tblCellMar>
        <w:top w:w="100.0" w:type="dxa"/>
        <w:left w:w="100.0" w:type="dxa"/>
        <w:bottom w:w="100.0" w:type="dxa"/>
        <w:right w:w="100.0" w:type="dxa"/>
      </w:tblCellMar>
    </w:tblPr>
  </w:style>
  <w:style w:type="table" w:styleId="Table120">
    <w:basedOn w:val="TableNormal"/>
    <w:tblPr>
      <w:tblStyleRowBandSize w:val="1"/>
      <w:tblStyleColBandSize w:val="1"/>
      <w:tblCellMar>
        <w:top w:w="100.0" w:type="dxa"/>
        <w:left w:w="100.0" w:type="dxa"/>
        <w:bottom w:w="100.0" w:type="dxa"/>
        <w:right w:w="100.0" w:type="dxa"/>
      </w:tblCellMar>
    </w:tblPr>
  </w:style>
  <w:style w:type="table" w:styleId="Table121">
    <w:basedOn w:val="TableNormal"/>
    <w:tblPr>
      <w:tblStyleRowBandSize w:val="1"/>
      <w:tblStyleColBandSize w:val="1"/>
      <w:tblCellMar>
        <w:top w:w="100.0" w:type="dxa"/>
        <w:left w:w="100.0" w:type="dxa"/>
        <w:bottom w:w="100.0" w:type="dxa"/>
        <w:right w:w="100.0" w:type="dxa"/>
      </w:tblCellMar>
    </w:tblPr>
  </w:style>
  <w:style w:type="table" w:styleId="Table122">
    <w:basedOn w:val="TableNormal"/>
    <w:tblPr>
      <w:tblStyleRowBandSize w:val="1"/>
      <w:tblStyleColBandSize w:val="1"/>
      <w:tblCellMar>
        <w:top w:w="100.0" w:type="dxa"/>
        <w:left w:w="100.0" w:type="dxa"/>
        <w:bottom w:w="100.0" w:type="dxa"/>
        <w:right w:w="100.0" w:type="dxa"/>
      </w:tblCellMar>
    </w:tblPr>
  </w:style>
  <w:style w:type="table" w:styleId="Table123">
    <w:basedOn w:val="TableNormal"/>
    <w:tblPr>
      <w:tblStyleRowBandSize w:val="1"/>
      <w:tblStyleColBandSize w:val="1"/>
      <w:tblCellMar>
        <w:top w:w="100.0" w:type="dxa"/>
        <w:left w:w="100.0" w:type="dxa"/>
        <w:bottom w:w="100.0" w:type="dxa"/>
        <w:right w:w="100.0" w:type="dxa"/>
      </w:tblCellMar>
    </w:tblPr>
  </w:style>
  <w:style w:type="table" w:styleId="Table124">
    <w:basedOn w:val="TableNormal"/>
    <w:tblPr>
      <w:tblStyleRowBandSize w:val="1"/>
      <w:tblStyleColBandSize w:val="1"/>
      <w:tblCellMar>
        <w:top w:w="100.0" w:type="dxa"/>
        <w:left w:w="100.0" w:type="dxa"/>
        <w:bottom w:w="100.0" w:type="dxa"/>
        <w:right w:w="100.0" w:type="dxa"/>
      </w:tblCellMar>
    </w:tblPr>
  </w:style>
  <w:style w:type="table" w:styleId="Table125">
    <w:basedOn w:val="TableNormal"/>
    <w:tblPr>
      <w:tblStyleRowBandSize w:val="1"/>
      <w:tblStyleColBandSize w:val="1"/>
      <w:tblCellMar>
        <w:top w:w="100.0" w:type="dxa"/>
        <w:left w:w="100.0" w:type="dxa"/>
        <w:bottom w:w="100.0" w:type="dxa"/>
        <w:right w:w="100.0" w:type="dxa"/>
      </w:tblCellMar>
    </w:tblPr>
  </w:style>
  <w:style w:type="table" w:styleId="Table126">
    <w:basedOn w:val="TableNormal"/>
    <w:tblPr>
      <w:tblStyleRowBandSize w:val="1"/>
      <w:tblStyleColBandSize w:val="1"/>
      <w:tblCellMar>
        <w:top w:w="100.0" w:type="dxa"/>
        <w:left w:w="100.0" w:type="dxa"/>
        <w:bottom w:w="100.0" w:type="dxa"/>
        <w:right w:w="100.0" w:type="dxa"/>
      </w:tblCellMar>
    </w:tblPr>
  </w:style>
  <w:style w:type="table" w:styleId="Table127">
    <w:basedOn w:val="TableNormal"/>
    <w:tblPr>
      <w:tblStyleRowBandSize w:val="1"/>
      <w:tblStyleColBandSize w:val="1"/>
      <w:tblCellMar>
        <w:top w:w="100.0" w:type="dxa"/>
        <w:left w:w="100.0" w:type="dxa"/>
        <w:bottom w:w="100.0" w:type="dxa"/>
        <w:right w:w="100.0" w:type="dxa"/>
      </w:tblCellMar>
    </w:tblPr>
  </w:style>
  <w:style w:type="table" w:styleId="Table128">
    <w:basedOn w:val="TableNormal"/>
    <w:tblPr>
      <w:tblStyleRowBandSize w:val="1"/>
      <w:tblStyleColBandSize w:val="1"/>
      <w:tblCellMar>
        <w:top w:w="100.0" w:type="dxa"/>
        <w:left w:w="100.0" w:type="dxa"/>
        <w:bottom w:w="100.0" w:type="dxa"/>
        <w:right w:w="100.0" w:type="dxa"/>
      </w:tblCellMar>
    </w:tblPr>
  </w:style>
  <w:style w:type="table" w:styleId="Table129">
    <w:basedOn w:val="TableNormal"/>
    <w:tblPr>
      <w:tblStyleRowBandSize w:val="1"/>
      <w:tblStyleColBandSize w:val="1"/>
      <w:tblCellMar>
        <w:top w:w="100.0" w:type="dxa"/>
        <w:left w:w="100.0" w:type="dxa"/>
        <w:bottom w:w="100.0" w:type="dxa"/>
        <w:right w:w="100.0" w:type="dxa"/>
      </w:tblCellMar>
    </w:tblPr>
  </w:style>
  <w:style w:type="table" w:styleId="Table130">
    <w:basedOn w:val="TableNormal"/>
    <w:tblPr>
      <w:tblStyleRowBandSize w:val="1"/>
      <w:tblStyleColBandSize w:val="1"/>
      <w:tblCellMar>
        <w:top w:w="100.0" w:type="dxa"/>
        <w:left w:w="100.0" w:type="dxa"/>
        <w:bottom w:w="100.0" w:type="dxa"/>
        <w:right w:w="100.0" w:type="dxa"/>
      </w:tblCellMar>
    </w:tblPr>
  </w:style>
  <w:style w:type="table" w:styleId="Table131">
    <w:basedOn w:val="TableNormal"/>
    <w:tblPr>
      <w:tblStyleRowBandSize w:val="1"/>
      <w:tblStyleColBandSize w:val="1"/>
      <w:tblCellMar>
        <w:top w:w="100.0" w:type="dxa"/>
        <w:left w:w="100.0" w:type="dxa"/>
        <w:bottom w:w="100.0" w:type="dxa"/>
        <w:right w:w="100.0" w:type="dxa"/>
      </w:tblCellMar>
    </w:tblPr>
  </w:style>
  <w:style w:type="table" w:styleId="Table132">
    <w:basedOn w:val="TableNormal"/>
    <w:tblPr>
      <w:tblStyleRowBandSize w:val="1"/>
      <w:tblStyleColBandSize w:val="1"/>
      <w:tblCellMar>
        <w:top w:w="100.0" w:type="dxa"/>
        <w:left w:w="100.0" w:type="dxa"/>
        <w:bottom w:w="100.0" w:type="dxa"/>
        <w:right w:w="100.0" w:type="dxa"/>
      </w:tblCellMar>
    </w:tblPr>
  </w:style>
  <w:style w:type="table" w:styleId="Table133">
    <w:basedOn w:val="TableNormal"/>
    <w:tblPr>
      <w:tblStyleRowBandSize w:val="1"/>
      <w:tblStyleColBandSize w:val="1"/>
      <w:tblCellMar>
        <w:top w:w="100.0" w:type="dxa"/>
        <w:left w:w="100.0" w:type="dxa"/>
        <w:bottom w:w="100.0" w:type="dxa"/>
        <w:right w:w="100.0" w:type="dxa"/>
      </w:tblCellMar>
    </w:tblPr>
  </w:style>
  <w:style w:type="table" w:styleId="Table134">
    <w:basedOn w:val="TableNormal"/>
    <w:tblPr>
      <w:tblStyleRowBandSize w:val="1"/>
      <w:tblStyleColBandSize w:val="1"/>
      <w:tblCellMar>
        <w:top w:w="100.0" w:type="dxa"/>
        <w:left w:w="100.0" w:type="dxa"/>
        <w:bottom w:w="100.0" w:type="dxa"/>
        <w:right w:w="100.0" w:type="dxa"/>
      </w:tblCellMar>
    </w:tblPr>
  </w:style>
  <w:style w:type="table" w:styleId="Table135">
    <w:basedOn w:val="TableNormal"/>
    <w:tblPr>
      <w:tblStyleRowBandSize w:val="1"/>
      <w:tblStyleColBandSize w:val="1"/>
      <w:tblCellMar>
        <w:top w:w="100.0" w:type="dxa"/>
        <w:left w:w="100.0" w:type="dxa"/>
        <w:bottom w:w="100.0" w:type="dxa"/>
        <w:right w:w="100.0" w:type="dxa"/>
      </w:tblCellMar>
    </w:tblPr>
  </w:style>
  <w:style w:type="table" w:styleId="Table136">
    <w:basedOn w:val="TableNormal"/>
    <w:tblPr>
      <w:tblStyleRowBandSize w:val="1"/>
      <w:tblStyleColBandSize w:val="1"/>
      <w:tblCellMar>
        <w:top w:w="100.0" w:type="dxa"/>
        <w:left w:w="100.0" w:type="dxa"/>
        <w:bottom w:w="100.0" w:type="dxa"/>
        <w:right w:w="100.0" w:type="dxa"/>
      </w:tblCellMar>
    </w:tblPr>
  </w:style>
  <w:style w:type="table" w:styleId="Table137">
    <w:basedOn w:val="TableNormal"/>
    <w:tblPr>
      <w:tblStyleRowBandSize w:val="1"/>
      <w:tblStyleColBandSize w:val="1"/>
      <w:tblCellMar>
        <w:top w:w="100.0" w:type="dxa"/>
        <w:left w:w="100.0" w:type="dxa"/>
        <w:bottom w:w="100.0" w:type="dxa"/>
        <w:right w:w="100.0" w:type="dxa"/>
      </w:tblCellMar>
    </w:tblPr>
  </w:style>
  <w:style w:type="table" w:styleId="Table138">
    <w:basedOn w:val="TableNormal"/>
    <w:tblPr>
      <w:tblStyleRowBandSize w:val="1"/>
      <w:tblStyleColBandSize w:val="1"/>
      <w:tblCellMar>
        <w:top w:w="100.0" w:type="dxa"/>
        <w:left w:w="100.0" w:type="dxa"/>
        <w:bottom w:w="100.0" w:type="dxa"/>
        <w:right w:w="100.0" w:type="dxa"/>
      </w:tblCellMar>
    </w:tblPr>
  </w:style>
  <w:style w:type="table" w:styleId="Table139">
    <w:basedOn w:val="TableNormal"/>
    <w:tblPr>
      <w:tblStyleRowBandSize w:val="1"/>
      <w:tblStyleColBandSize w:val="1"/>
      <w:tblCellMar>
        <w:top w:w="100.0" w:type="dxa"/>
        <w:left w:w="100.0" w:type="dxa"/>
        <w:bottom w:w="100.0" w:type="dxa"/>
        <w:right w:w="100.0" w:type="dxa"/>
      </w:tblCellMar>
    </w:tblPr>
  </w:style>
  <w:style w:type="table" w:styleId="Table140">
    <w:basedOn w:val="TableNormal"/>
    <w:tblPr>
      <w:tblStyleRowBandSize w:val="1"/>
      <w:tblStyleColBandSize w:val="1"/>
      <w:tblCellMar>
        <w:top w:w="100.0" w:type="dxa"/>
        <w:left w:w="100.0" w:type="dxa"/>
        <w:bottom w:w="100.0" w:type="dxa"/>
        <w:right w:w="100.0" w:type="dxa"/>
      </w:tblCellMar>
    </w:tblPr>
  </w:style>
  <w:style w:type="table" w:styleId="Table141">
    <w:basedOn w:val="TableNormal"/>
    <w:tblPr>
      <w:tblStyleRowBandSize w:val="1"/>
      <w:tblStyleColBandSize w:val="1"/>
      <w:tblCellMar>
        <w:top w:w="100.0" w:type="dxa"/>
        <w:left w:w="100.0" w:type="dxa"/>
        <w:bottom w:w="100.0" w:type="dxa"/>
        <w:right w:w="100.0" w:type="dxa"/>
      </w:tblCellMar>
    </w:tblPr>
  </w:style>
  <w:style w:type="table" w:styleId="Table142">
    <w:basedOn w:val="TableNormal"/>
    <w:tblPr>
      <w:tblStyleRowBandSize w:val="1"/>
      <w:tblStyleColBandSize w:val="1"/>
      <w:tblCellMar>
        <w:top w:w="100.0" w:type="dxa"/>
        <w:left w:w="100.0" w:type="dxa"/>
        <w:bottom w:w="100.0" w:type="dxa"/>
        <w:right w:w="100.0" w:type="dxa"/>
      </w:tblCellMar>
    </w:tblPr>
  </w:style>
  <w:style w:type="table" w:styleId="Table143">
    <w:basedOn w:val="TableNormal"/>
    <w:tblPr>
      <w:tblStyleRowBandSize w:val="1"/>
      <w:tblStyleColBandSize w:val="1"/>
      <w:tblCellMar>
        <w:top w:w="100.0" w:type="dxa"/>
        <w:left w:w="100.0" w:type="dxa"/>
        <w:bottom w:w="100.0" w:type="dxa"/>
        <w:right w:w="100.0" w:type="dxa"/>
      </w:tblCellMar>
    </w:tblPr>
  </w:style>
  <w:style w:type="table" w:styleId="Table144">
    <w:basedOn w:val="TableNormal"/>
    <w:tblPr>
      <w:tblStyleRowBandSize w:val="1"/>
      <w:tblStyleColBandSize w:val="1"/>
      <w:tblCellMar>
        <w:top w:w="100.0" w:type="dxa"/>
        <w:left w:w="100.0" w:type="dxa"/>
        <w:bottom w:w="100.0" w:type="dxa"/>
        <w:right w:w="100.0" w:type="dxa"/>
      </w:tblCellMar>
    </w:tblPr>
  </w:style>
  <w:style w:type="table" w:styleId="Table145">
    <w:basedOn w:val="TableNormal"/>
    <w:tblPr>
      <w:tblStyleRowBandSize w:val="1"/>
      <w:tblStyleColBandSize w:val="1"/>
      <w:tblCellMar>
        <w:top w:w="100.0" w:type="dxa"/>
        <w:left w:w="100.0" w:type="dxa"/>
        <w:bottom w:w="100.0" w:type="dxa"/>
        <w:right w:w="100.0" w:type="dxa"/>
      </w:tblCellMar>
    </w:tblPr>
  </w:style>
  <w:style w:type="table" w:styleId="Table146">
    <w:basedOn w:val="TableNormal"/>
    <w:tblPr>
      <w:tblStyleRowBandSize w:val="1"/>
      <w:tblStyleColBandSize w:val="1"/>
      <w:tblCellMar>
        <w:top w:w="100.0" w:type="dxa"/>
        <w:left w:w="100.0" w:type="dxa"/>
        <w:bottom w:w="100.0" w:type="dxa"/>
        <w:right w:w="100.0" w:type="dxa"/>
      </w:tblCellMar>
    </w:tblPr>
  </w:style>
  <w:style w:type="table" w:styleId="Table147">
    <w:basedOn w:val="TableNormal"/>
    <w:tblPr>
      <w:tblStyleRowBandSize w:val="1"/>
      <w:tblStyleColBandSize w:val="1"/>
      <w:tblCellMar>
        <w:top w:w="100.0" w:type="dxa"/>
        <w:left w:w="100.0" w:type="dxa"/>
        <w:bottom w:w="100.0" w:type="dxa"/>
        <w:right w:w="100.0" w:type="dxa"/>
      </w:tblCellMar>
    </w:tblPr>
  </w:style>
  <w:style w:type="table" w:styleId="Table148">
    <w:basedOn w:val="TableNormal"/>
    <w:tblPr>
      <w:tblStyleRowBandSize w:val="1"/>
      <w:tblStyleColBandSize w:val="1"/>
      <w:tblCellMar>
        <w:top w:w="100.0" w:type="dxa"/>
        <w:left w:w="100.0" w:type="dxa"/>
        <w:bottom w:w="100.0" w:type="dxa"/>
        <w:right w:w="100.0" w:type="dxa"/>
      </w:tblCellMar>
    </w:tblPr>
  </w:style>
  <w:style w:type="table" w:styleId="Table149">
    <w:basedOn w:val="TableNormal"/>
    <w:tblPr>
      <w:tblStyleRowBandSize w:val="1"/>
      <w:tblStyleColBandSize w:val="1"/>
      <w:tblCellMar>
        <w:top w:w="100.0" w:type="dxa"/>
        <w:left w:w="100.0" w:type="dxa"/>
        <w:bottom w:w="100.0" w:type="dxa"/>
        <w:right w:w="100.0" w:type="dxa"/>
      </w:tblCellMar>
    </w:tblPr>
  </w:style>
  <w:style w:type="table" w:styleId="Table150">
    <w:basedOn w:val="TableNormal"/>
    <w:tblPr>
      <w:tblStyleRowBandSize w:val="1"/>
      <w:tblStyleColBandSize w:val="1"/>
      <w:tblCellMar>
        <w:top w:w="100.0" w:type="dxa"/>
        <w:left w:w="100.0" w:type="dxa"/>
        <w:bottom w:w="100.0" w:type="dxa"/>
        <w:right w:w="100.0" w:type="dxa"/>
      </w:tblCellMar>
    </w:tblPr>
  </w:style>
  <w:style w:type="table" w:styleId="Table151">
    <w:basedOn w:val="TableNormal"/>
    <w:tblPr>
      <w:tblStyleRowBandSize w:val="1"/>
      <w:tblStyleColBandSize w:val="1"/>
      <w:tblCellMar>
        <w:top w:w="100.0" w:type="dxa"/>
        <w:left w:w="100.0" w:type="dxa"/>
        <w:bottom w:w="100.0" w:type="dxa"/>
        <w:right w:w="100.0" w:type="dxa"/>
      </w:tblCellMar>
    </w:tblPr>
  </w:style>
  <w:style w:type="table" w:styleId="Table152">
    <w:basedOn w:val="TableNormal"/>
    <w:tblPr>
      <w:tblStyleRowBandSize w:val="1"/>
      <w:tblStyleColBandSize w:val="1"/>
      <w:tblCellMar>
        <w:top w:w="100.0" w:type="dxa"/>
        <w:left w:w="100.0" w:type="dxa"/>
        <w:bottom w:w="100.0" w:type="dxa"/>
        <w:right w:w="100.0" w:type="dxa"/>
      </w:tblCellMar>
    </w:tblPr>
  </w:style>
  <w:style w:type="table" w:styleId="Table153">
    <w:basedOn w:val="TableNormal"/>
    <w:tblPr>
      <w:tblStyleRowBandSize w:val="1"/>
      <w:tblStyleColBandSize w:val="1"/>
      <w:tblCellMar>
        <w:top w:w="100.0" w:type="dxa"/>
        <w:left w:w="100.0" w:type="dxa"/>
        <w:bottom w:w="100.0" w:type="dxa"/>
        <w:right w:w="100.0" w:type="dxa"/>
      </w:tblCellMar>
    </w:tblPr>
  </w:style>
  <w:style w:type="table" w:styleId="Table154">
    <w:basedOn w:val="TableNormal"/>
    <w:tblPr>
      <w:tblStyleRowBandSize w:val="1"/>
      <w:tblStyleColBandSize w:val="1"/>
      <w:tblCellMar>
        <w:top w:w="100.0" w:type="dxa"/>
        <w:left w:w="100.0" w:type="dxa"/>
        <w:bottom w:w="100.0" w:type="dxa"/>
        <w:right w:w="100.0" w:type="dxa"/>
      </w:tblCellMar>
    </w:tblPr>
  </w:style>
  <w:style w:type="table" w:styleId="Table155">
    <w:basedOn w:val="TableNormal"/>
    <w:tblPr>
      <w:tblStyleRowBandSize w:val="1"/>
      <w:tblStyleColBandSize w:val="1"/>
      <w:tblCellMar>
        <w:top w:w="100.0" w:type="dxa"/>
        <w:left w:w="100.0" w:type="dxa"/>
        <w:bottom w:w="100.0" w:type="dxa"/>
        <w:right w:w="100.0" w:type="dxa"/>
      </w:tblCellMar>
    </w:tblPr>
  </w:style>
  <w:style w:type="table" w:styleId="Table156">
    <w:basedOn w:val="TableNormal"/>
    <w:tblPr>
      <w:tblStyleRowBandSize w:val="1"/>
      <w:tblStyleColBandSize w:val="1"/>
      <w:tblCellMar>
        <w:top w:w="100.0" w:type="dxa"/>
        <w:left w:w="100.0" w:type="dxa"/>
        <w:bottom w:w="100.0" w:type="dxa"/>
        <w:right w:w="100.0" w:type="dxa"/>
      </w:tblCellMar>
    </w:tblPr>
  </w:style>
  <w:style w:type="table" w:styleId="Table157">
    <w:basedOn w:val="TableNormal"/>
    <w:tblPr>
      <w:tblStyleRowBandSize w:val="1"/>
      <w:tblStyleColBandSize w:val="1"/>
      <w:tblCellMar>
        <w:top w:w="100.0" w:type="dxa"/>
        <w:left w:w="100.0" w:type="dxa"/>
        <w:bottom w:w="100.0" w:type="dxa"/>
        <w:right w:w="100.0" w:type="dxa"/>
      </w:tblCellMar>
    </w:tblPr>
  </w:style>
  <w:style w:type="table" w:styleId="Table158">
    <w:basedOn w:val="TableNormal"/>
    <w:tblPr>
      <w:tblStyleRowBandSize w:val="1"/>
      <w:tblStyleColBandSize w:val="1"/>
      <w:tblCellMar>
        <w:top w:w="100.0" w:type="dxa"/>
        <w:left w:w="100.0" w:type="dxa"/>
        <w:bottom w:w="100.0" w:type="dxa"/>
        <w:right w:w="100.0" w:type="dxa"/>
      </w:tblCellMar>
    </w:tblPr>
  </w:style>
  <w:style w:type="table" w:styleId="Table159">
    <w:basedOn w:val="TableNormal"/>
    <w:tblPr>
      <w:tblStyleRowBandSize w:val="1"/>
      <w:tblStyleColBandSize w:val="1"/>
      <w:tblCellMar>
        <w:top w:w="100.0" w:type="dxa"/>
        <w:left w:w="100.0" w:type="dxa"/>
        <w:bottom w:w="100.0" w:type="dxa"/>
        <w:right w:w="100.0" w:type="dxa"/>
      </w:tblCellMar>
    </w:tblPr>
  </w:style>
  <w:style w:type="table" w:styleId="Table160">
    <w:basedOn w:val="TableNormal"/>
    <w:tblPr>
      <w:tblStyleRowBandSize w:val="1"/>
      <w:tblStyleColBandSize w:val="1"/>
      <w:tblCellMar>
        <w:top w:w="100.0" w:type="dxa"/>
        <w:left w:w="100.0" w:type="dxa"/>
        <w:bottom w:w="100.0" w:type="dxa"/>
        <w:right w:w="100.0" w:type="dxa"/>
      </w:tblCellMar>
    </w:tblPr>
  </w:style>
  <w:style w:type="table" w:styleId="Table161">
    <w:basedOn w:val="TableNormal"/>
    <w:tblPr>
      <w:tblStyleRowBandSize w:val="1"/>
      <w:tblStyleColBandSize w:val="1"/>
      <w:tblCellMar>
        <w:top w:w="100.0" w:type="dxa"/>
        <w:left w:w="100.0" w:type="dxa"/>
        <w:bottom w:w="100.0" w:type="dxa"/>
        <w:right w:w="100.0" w:type="dxa"/>
      </w:tblCellMar>
    </w:tblPr>
  </w:style>
  <w:style w:type="table" w:styleId="Table162">
    <w:basedOn w:val="TableNormal"/>
    <w:tblPr>
      <w:tblStyleRowBandSize w:val="1"/>
      <w:tblStyleColBandSize w:val="1"/>
      <w:tblCellMar>
        <w:top w:w="100.0" w:type="dxa"/>
        <w:left w:w="100.0" w:type="dxa"/>
        <w:bottom w:w="100.0" w:type="dxa"/>
        <w:right w:w="100.0" w:type="dxa"/>
      </w:tblCellMar>
    </w:tblPr>
  </w:style>
  <w:style w:type="table" w:styleId="Table163">
    <w:basedOn w:val="TableNormal"/>
    <w:tblPr>
      <w:tblStyleRowBandSize w:val="1"/>
      <w:tblStyleColBandSize w:val="1"/>
      <w:tblCellMar>
        <w:top w:w="100.0" w:type="dxa"/>
        <w:left w:w="100.0" w:type="dxa"/>
        <w:bottom w:w="100.0" w:type="dxa"/>
        <w:right w:w="100.0" w:type="dxa"/>
      </w:tblCellMar>
    </w:tblPr>
  </w:style>
  <w:style w:type="table" w:styleId="Table164">
    <w:basedOn w:val="TableNormal"/>
    <w:tblPr>
      <w:tblStyleRowBandSize w:val="1"/>
      <w:tblStyleColBandSize w:val="1"/>
      <w:tblCellMar>
        <w:top w:w="100.0" w:type="dxa"/>
        <w:left w:w="100.0" w:type="dxa"/>
        <w:bottom w:w="100.0" w:type="dxa"/>
        <w:right w:w="100.0" w:type="dxa"/>
      </w:tblCellMar>
    </w:tblPr>
  </w:style>
  <w:style w:type="table" w:styleId="Table165">
    <w:basedOn w:val="TableNormal"/>
    <w:tblPr>
      <w:tblStyleRowBandSize w:val="1"/>
      <w:tblStyleColBandSize w:val="1"/>
      <w:tblCellMar>
        <w:top w:w="100.0" w:type="dxa"/>
        <w:left w:w="100.0" w:type="dxa"/>
        <w:bottom w:w="100.0" w:type="dxa"/>
        <w:right w:w="100.0" w:type="dxa"/>
      </w:tblCellMar>
    </w:tblPr>
  </w:style>
  <w:style w:type="table" w:styleId="Table166">
    <w:basedOn w:val="TableNormal"/>
    <w:tblPr>
      <w:tblStyleRowBandSize w:val="1"/>
      <w:tblStyleColBandSize w:val="1"/>
      <w:tblCellMar>
        <w:top w:w="100.0" w:type="dxa"/>
        <w:left w:w="100.0" w:type="dxa"/>
        <w:bottom w:w="100.0" w:type="dxa"/>
        <w:right w:w="100.0" w:type="dxa"/>
      </w:tblCellMar>
    </w:tblPr>
  </w:style>
  <w:style w:type="table" w:styleId="Table167">
    <w:basedOn w:val="TableNormal"/>
    <w:tblPr>
      <w:tblStyleRowBandSize w:val="1"/>
      <w:tblStyleColBandSize w:val="1"/>
      <w:tblCellMar>
        <w:top w:w="100.0" w:type="dxa"/>
        <w:left w:w="100.0" w:type="dxa"/>
        <w:bottom w:w="100.0" w:type="dxa"/>
        <w:right w:w="100.0" w:type="dxa"/>
      </w:tblCellMar>
    </w:tblPr>
  </w:style>
  <w:style w:type="table" w:styleId="Table168">
    <w:basedOn w:val="TableNormal"/>
    <w:tblPr>
      <w:tblStyleRowBandSize w:val="1"/>
      <w:tblStyleColBandSize w:val="1"/>
      <w:tblCellMar>
        <w:top w:w="100.0" w:type="dxa"/>
        <w:left w:w="100.0" w:type="dxa"/>
        <w:bottom w:w="100.0" w:type="dxa"/>
        <w:right w:w="100.0" w:type="dxa"/>
      </w:tblCellMar>
    </w:tblPr>
  </w:style>
  <w:style w:type="table" w:styleId="Table169">
    <w:basedOn w:val="TableNormal"/>
    <w:tblPr>
      <w:tblStyleRowBandSize w:val="1"/>
      <w:tblStyleColBandSize w:val="1"/>
      <w:tblCellMar>
        <w:top w:w="100.0" w:type="dxa"/>
        <w:left w:w="100.0" w:type="dxa"/>
        <w:bottom w:w="100.0" w:type="dxa"/>
        <w:right w:w="100.0" w:type="dxa"/>
      </w:tblCellMar>
    </w:tblPr>
  </w:style>
  <w:style w:type="table" w:styleId="Table170">
    <w:basedOn w:val="TableNormal"/>
    <w:tblPr>
      <w:tblStyleRowBandSize w:val="1"/>
      <w:tblStyleColBandSize w:val="1"/>
      <w:tblCellMar>
        <w:top w:w="100.0" w:type="dxa"/>
        <w:left w:w="100.0" w:type="dxa"/>
        <w:bottom w:w="100.0" w:type="dxa"/>
        <w:right w:w="100.0" w:type="dxa"/>
      </w:tblCellMar>
    </w:tblPr>
  </w:style>
  <w:style w:type="table" w:styleId="Table171">
    <w:basedOn w:val="TableNormal"/>
    <w:tblPr>
      <w:tblStyleRowBandSize w:val="1"/>
      <w:tblStyleColBandSize w:val="1"/>
      <w:tblCellMar>
        <w:top w:w="100.0" w:type="dxa"/>
        <w:left w:w="100.0" w:type="dxa"/>
        <w:bottom w:w="100.0" w:type="dxa"/>
        <w:right w:w="100.0" w:type="dxa"/>
      </w:tblCellMar>
    </w:tblPr>
  </w:style>
  <w:style w:type="table" w:styleId="Table172">
    <w:basedOn w:val="TableNormal"/>
    <w:tblPr>
      <w:tblStyleRowBandSize w:val="1"/>
      <w:tblStyleColBandSize w:val="1"/>
      <w:tblCellMar>
        <w:top w:w="100.0" w:type="dxa"/>
        <w:left w:w="100.0" w:type="dxa"/>
        <w:bottom w:w="100.0" w:type="dxa"/>
        <w:right w:w="100.0" w:type="dxa"/>
      </w:tblCellMar>
    </w:tblPr>
  </w:style>
  <w:style w:type="table" w:styleId="Table173">
    <w:basedOn w:val="TableNormal"/>
    <w:tblPr>
      <w:tblStyleRowBandSize w:val="1"/>
      <w:tblStyleColBandSize w:val="1"/>
      <w:tblCellMar>
        <w:top w:w="100.0" w:type="dxa"/>
        <w:left w:w="100.0" w:type="dxa"/>
        <w:bottom w:w="100.0" w:type="dxa"/>
        <w:right w:w="100.0" w:type="dxa"/>
      </w:tblCellMar>
    </w:tblPr>
  </w:style>
  <w:style w:type="table" w:styleId="Table174">
    <w:basedOn w:val="TableNormal"/>
    <w:tblPr>
      <w:tblStyleRowBandSize w:val="1"/>
      <w:tblStyleColBandSize w:val="1"/>
      <w:tblCellMar>
        <w:top w:w="100.0" w:type="dxa"/>
        <w:left w:w="100.0" w:type="dxa"/>
        <w:bottom w:w="100.0" w:type="dxa"/>
        <w:right w:w="100.0" w:type="dxa"/>
      </w:tblCellMar>
    </w:tblPr>
  </w:style>
  <w:style w:type="table" w:styleId="Table175">
    <w:basedOn w:val="TableNormal"/>
    <w:tblPr>
      <w:tblStyleRowBandSize w:val="1"/>
      <w:tblStyleColBandSize w:val="1"/>
      <w:tblCellMar>
        <w:top w:w="100.0" w:type="dxa"/>
        <w:left w:w="100.0" w:type="dxa"/>
        <w:bottom w:w="100.0" w:type="dxa"/>
        <w:right w:w="100.0" w:type="dxa"/>
      </w:tblCellMar>
    </w:tblPr>
  </w:style>
  <w:style w:type="table" w:styleId="Table176">
    <w:basedOn w:val="TableNormal"/>
    <w:tblPr>
      <w:tblStyleRowBandSize w:val="1"/>
      <w:tblStyleColBandSize w:val="1"/>
      <w:tblCellMar>
        <w:top w:w="100.0" w:type="dxa"/>
        <w:left w:w="100.0" w:type="dxa"/>
        <w:bottom w:w="100.0" w:type="dxa"/>
        <w:right w:w="100.0" w:type="dxa"/>
      </w:tblCellMar>
    </w:tblPr>
  </w:style>
  <w:style w:type="table" w:styleId="Table177">
    <w:basedOn w:val="TableNormal"/>
    <w:tblPr>
      <w:tblStyleRowBandSize w:val="1"/>
      <w:tblStyleColBandSize w:val="1"/>
      <w:tblCellMar>
        <w:top w:w="100.0" w:type="dxa"/>
        <w:left w:w="100.0" w:type="dxa"/>
        <w:bottom w:w="100.0" w:type="dxa"/>
        <w:right w:w="100.0" w:type="dxa"/>
      </w:tblCellMar>
    </w:tblPr>
  </w:style>
  <w:style w:type="table" w:styleId="Table178">
    <w:basedOn w:val="TableNormal"/>
    <w:tblPr>
      <w:tblStyleRowBandSize w:val="1"/>
      <w:tblStyleColBandSize w:val="1"/>
      <w:tblCellMar>
        <w:top w:w="100.0" w:type="dxa"/>
        <w:left w:w="100.0" w:type="dxa"/>
        <w:bottom w:w="100.0" w:type="dxa"/>
        <w:right w:w="100.0" w:type="dxa"/>
      </w:tblCellMar>
    </w:tblPr>
  </w:style>
  <w:style w:type="table" w:styleId="Table179">
    <w:basedOn w:val="TableNormal"/>
    <w:tblPr>
      <w:tblStyleRowBandSize w:val="1"/>
      <w:tblStyleColBandSize w:val="1"/>
      <w:tblCellMar>
        <w:top w:w="100.0" w:type="dxa"/>
        <w:left w:w="100.0" w:type="dxa"/>
        <w:bottom w:w="100.0" w:type="dxa"/>
        <w:right w:w="100.0" w:type="dxa"/>
      </w:tblCellMar>
    </w:tblPr>
  </w:style>
  <w:style w:type="table" w:styleId="Table180">
    <w:basedOn w:val="TableNormal"/>
    <w:tblPr>
      <w:tblStyleRowBandSize w:val="1"/>
      <w:tblStyleColBandSize w:val="1"/>
      <w:tblCellMar>
        <w:top w:w="100.0" w:type="dxa"/>
        <w:left w:w="100.0" w:type="dxa"/>
        <w:bottom w:w="100.0" w:type="dxa"/>
        <w:right w:w="100.0" w:type="dxa"/>
      </w:tblCellMar>
    </w:tblPr>
  </w:style>
  <w:style w:type="table" w:styleId="Table181">
    <w:basedOn w:val="TableNormal"/>
    <w:tblPr>
      <w:tblStyleRowBandSize w:val="1"/>
      <w:tblStyleColBandSize w:val="1"/>
      <w:tblCellMar>
        <w:top w:w="100.0" w:type="dxa"/>
        <w:left w:w="100.0" w:type="dxa"/>
        <w:bottom w:w="100.0" w:type="dxa"/>
        <w:right w:w="100.0" w:type="dxa"/>
      </w:tblCellMar>
    </w:tblPr>
  </w:style>
  <w:style w:type="table" w:styleId="Table182">
    <w:basedOn w:val="TableNormal"/>
    <w:tblPr>
      <w:tblStyleRowBandSize w:val="1"/>
      <w:tblStyleColBandSize w:val="1"/>
      <w:tblCellMar>
        <w:top w:w="100.0" w:type="dxa"/>
        <w:left w:w="100.0" w:type="dxa"/>
        <w:bottom w:w="100.0" w:type="dxa"/>
        <w:right w:w="100.0" w:type="dxa"/>
      </w:tblCellMar>
    </w:tblPr>
  </w:style>
  <w:style w:type="table" w:styleId="Table183">
    <w:basedOn w:val="TableNormal"/>
    <w:tblPr>
      <w:tblStyleRowBandSize w:val="1"/>
      <w:tblStyleColBandSize w:val="1"/>
      <w:tblCellMar>
        <w:top w:w="100.0" w:type="dxa"/>
        <w:left w:w="100.0" w:type="dxa"/>
        <w:bottom w:w="100.0" w:type="dxa"/>
        <w:right w:w="100.0" w:type="dxa"/>
      </w:tblCellMar>
    </w:tblPr>
  </w:style>
  <w:style w:type="table" w:styleId="Table184">
    <w:basedOn w:val="TableNormal"/>
    <w:tblPr>
      <w:tblStyleRowBandSize w:val="1"/>
      <w:tblStyleColBandSize w:val="1"/>
      <w:tblCellMar>
        <w:top w:w="100.0" w:type="dxa"/>
        <w:left w:w="100.0" w:type="dxa"/>
        <w:bottom w:w="100.0" w:type="dxa"/>
        <w:right w:w="100.0" w:type="dxa"/>
      </w:tblCellMar>
    </w:tblPr>
  </w:style>
  <w:style w:type="table" w:styleId="Table185">
    <w:basedOn w:val="TableNormal"/>
    <w:tblPr>
      <w:tblStyleRowBandSize w:val="1"/>
      <w:tblStyleColBandSize w:val="1"/>
      <w:tblCellMar>
        <w:top w:w="100.0" w:type="dxa"/>
        <w:left w:w="100.0" w:type="dxa"/>
        <w:bottom w:w="100.0" w:type="dxa"/>
        <w:right w:w="100.0" w:type="dxa"/>
      </w:tblCellMar>
    </w:tblPr>
  </w:style>
  <w:style w:type="table" w:styleId="Table186">
    <w:basedOn w:val="TableNormal"/>
    <w:tblPr>
      <w:tblStyleRowBandSize w:val="1"/>
      <w:tblStyleColBandSize w:val="1"/>
      <w:tblCellMar>
        <w:top w:w="100.0" w:type="dxa"/>
        <w:left w:w="100.0" w:type="dxa"/>
        <w:bottom w:w="100.0" w:type="dxa"/>
        <w:right w:w="100.0" w:type="dxa"/>
      </w:tblCellMar>
    </w:tblPr>
  </w:style>
  <w:style w:type="table" w:styleId="Table187">
    <w:basedOn w:val="TableNormal"/>
    <w:tblPr>
      <w:tblStyleRowBandSize w:val="1"/>
      <w:tblStyleColBandSize w:val="1"/>
      <w:tblCellMar>
        <w:top w:w="100.0" w:type="dxa"/>
        <w:left w:w="100.0" w:type="dxa"/>
        <w:bottom w:w="100.0" w:type="dxa"/>
        <w:right w:w="100.0" w:type="dxa"/>
      </w:tblCellMar>
    </w:tblPr>
  </w:style>
  <w:style w:type="table" w:styleId="Table188">
    <w:basedOn w:val="TableNormal"/>
    <w:tblPr>
      <w:tblStyleRowBandSize w:val="1"/>
      <w:tblStyleColBandSize w:val="1"/>
      <w:tblCellMar>
        <w:top w:w="100.0" w:type="dxa"/>
        <w:left w:w="100.0" w:type="dxa"/>
        <w:bottom w:w="100.0" w:type="dxa"/>
        <w:right w:w="100.0" w:type="dxa"/>
      </w:tblCellMar>
    </w:tblPr>
  </w:style>
  <w:style w:type="table" w:styleId="Table189">
    <w:basedOn w:val="TableNormal"/>
    <w:tblPr>
      <w:tblStyleRowBandSize w:val="1"/>
      <w:tblStyleColBandSize w:val="1"/>
      <w:tblCellMar>
        <w:top w:w="100.0" w:type="dxa"/>
        <w:left w:w="100.0" w:type="dxa"/>
        <w:bottom w:w="100.0" w:type="dxa"/>
        <w:right w:w="100.0" w:type="dxa"/>
      </w:tblCellMar>
    </w:tblPr>
  </w:style>
  <w:style w:type="table" w:styleId="Table190">
    <w:basedOn w:val="TableNormal"/>
    <w:tblPr>
      <w:tblStyleRowBandSize w:val="1"/>
      <w:tblStyleColBandSize w:val="1"/>
      <w:tblCellMar>
        <w:top w:w="100.0" w:type="dxa"/>
        <w:left w:w="100.0" w:type="dxa"/>
        <w:bottom w:w="100.0" w:type="dxa"/>
        <w:right w:w="100.0" w:type="dxa"/>
      </w:tblCellMar>
    </w:tblPr>
  </w:style>
  <w:style w:type="table" w:styleId="Table191">
    <w:basedOn w:val="TableNormal"/>
    <w:tblPr>
      <w:tblStyleRowBandSize w:val="1"/>
      <w:tblStyleColBandSize w:val="1"/>
      <w:tblCellMar>
        <w:top w:w="100.0" w:type="dxa"/>
        <w:left w:w="100.0" w:type="dxa"/>
        <w:bottom w:w="100.0" w:type="dxa"/>
        <w:right w:w="100.0" w:type="dxa"/>
      </w:tblCellMar>
    </w:tblPr>
  </w:style>
  <w:style w:type="table" w:styleId="Table192">
    <w:basedOn w:val="TableNormal"/>
    <w:tblPr>
      <w:tblStyleRowBandSize w:val="1"/>
      <w:tblStyleColBandSize w:val="1"/>
      <w:tblCellMar>
        <w:top w:w="100.0" w:type="dxa"/>
        <w:left w:w="100.0" w:type="dxa"/>
        <w:bottom w:w="100.0" w:type="dxa"/>
        <w:right w:w="100.0" w:type="dxa"/>
      </w:tblCellMar>
    </w:tblPr>
  </w:style>
  <w:style w:type="table" w:styleId="Table193">
    <w:basedOn w:val="TableNormal"/>
    <w:tblPr>
      <w:tblStyleRowBandSize w:val="1"/>
      <w:tblStyleColBandSize w:val="1"/>
      <w:tblCellMar>
        <w:top w:w="100.0" w:type="dxa"/>
        <w:left w:w="100.0" w:type="dxa"/>
        <w:bottom w:w="100.0" w:type="dxa"/>
        <w:right w:w="100.0" w:type="dxa"/>
      </w:tblCellMar>
    </w:tblPr>
  </w:style>
  <w:style w:type="table" w:styleId="Table194">
    <w:basedOn w:val="TableNormal"/>
    <w:tblPr>
      <w:tblStyleRowBandSize w:val="1"/>
      <w:tblStyleColBandSize w:val="1"/>
      <w:tblCellMar>
        <w:top w:w="100.0" w:type="dxa"/>
        <w:left w:w="100.0" w:type="dxa"/>
        <w:bottom w:w="100.0" w:type="dxa"/>
        <w:right w:w="100.0" w:type="dxa"/>
      </w:tblCellMar>
    </w:tblPr>
  </w:style>
  <w:style w:type="table" w:styleId="Table195">
    <w:basedOn w:val="TableNormal"/>
    <w:tblPr>
      <w:tblStyleRowBandSize w:val="1"/>
      <w:tblStyleColBandSize w:val="1"/>
      <w:tblCellMar>
        <w:top w:w="100.0" w:type="dxa"/>
        <w:left w:w="100.0" w:type="dxa"/>
        <w:bottom w:w="100.0" w:type="dxa"/>
        <w:right w:w="100.0" w:type="dxa"/>
      </w:tblCellMar>
    </w:tblPr>
  </w:style>
  <w:style w:type="table" w:styleId="Table196">
    <w:basedOn w:val="TableNormal"/>
    <w:tblPr>
      <w:tblStyleRowBandSize w:val="1"/>
      <w:tblStyleColBandSize w:val="1"/>
      <w:tblCellMar>
        <w:top w:w="100.0" w:type="dxa"/>
        <w:left w:w="100.0" w:type="dxa"/>
        <w:bottom w:w="100.0" w:type="dxa"/>
        <w:right w:w="100.0" w:type="dxa"/>
      </w:tblCellMar>
    </w:tblPr>
  </w:style>
  <w:style w:type="table" w:styleId="Table197">
    <w:basedOn w:val="TableNormal"/>
    <w:tblPr>
      <w:tblStyleRowBandSize w:val="1"/>
      <w:tblStyleColBandSize w:val="1"/>
      <w:tblCellMar>
        <w:top w:w="100.0" w:type="dxa"/>
        <w:left w:w="100.0" w:type="dxa"/>
        <w:bottom w:w="100.0" w:type="dxa"/>
        <w:right w:w="100.0" w:type="dxa"/>
      </w:tblCellMar>
    </w:tblPr>
  </w:style>
  <w:style w:type="table" w:styleId="Table198">
    <w:basedOn w:val="TableNormal"/>
    <w:tblPr>
      <w:tblStyleRowBandSize w:val="1"/>
      <w:tblStyleColBandSize w:val="1"/>
      <w:tblCellMar>
        <w:top w:w="100.0" w:type="dxa"/>
        <w:left w:w="100.0" w:type="dxa"/>
        <w:bottom w:w="100.0" w:type="dxa"/>
        <w:right w:w="100.0" w:type="dxa"/>
      </w:tblCellMar>
    </w:tblPr>
  </w:style>
  <w:style w:type="table" w:styleId="Table199">
    <w:basedOn w:val="TableNormal"/>
    <w:tblPr>
      <w:tblStyleRowBandSize w:val="1"/>
      <w:tblStyleColBandSize w:val="1"/>
      <w:tblCellMar>
        <w:top w:w="100.0" w:type="dxa"/>
        <w:left w:w="100.0" w:type="dxa"/>
        <w:bottom w:w="100.0" w:type="dxa"/>
        <w:right w:w="100.0" w:type="dxa"/>
      </w:tblCellMar>
    </w:tblPr>
  </w:style>
  <w:style w:type="table" w:styleId="Table200">
    <w:basedOn w:val="TableNormal"/>
    <w:tblPr>
      <w:tblStyleRowBandSize w:val="1"/>
      <w:tblStyleColBandSize w:val="1"/>
      <w:tblCellMar>
        <w:top w:w="100.0" w:type="dxa"/>
        <w:left w:w="100.0" w:type="dxa"/>
        <w:bottom w:w="100.0" w:type="dxa"/>
        <w:right w:w="100.0" w:type="dxa"/>
      </w:tblCellMar>
    </w:tblPr>
  </w:style>
  <w:style w:type="table" w:styleId="Table201">
    <w:basedOn w:val="TableNormal"/>
    <w:tblPr>
      <w:tblStyleRowBandSize w:val="1"/>
      <w:tblStyleColBandSize w:val="1"/>
      <w:tblCellMar>
        <w:top w:w="100.0" w:type="dxa"/>
        <w:left w:w="100.0" w:type="dxa"/>
        <w:bottom w:w="100.0" w:type="dxa"/>
        <w:right w:w="100.0" w:type="dxa"/>
      </w:tblCellMar>
    </w:tblPr>
  </w:style>
  <w:style w:type="table" w:styleId="Table202">
    <w:basedOn w:val="TableNormal"/>
    <w:tblPr>
      <w:tblStyleRowBandSize w:val="1"/>
      <w:tblStyleColBandSize w:val="1"/>
      <w:tblCellMar>
        <w:top w:w="100.0" w:type="dxa"/>
        <w:left w:w="100.0" w:type="dxa"/>
        <w:bottom w:w="100.0" w:type="dxa"/>
        <w:right w:w="100.0" w:type="dxa"/>
      </w:tblCellMar>
    </w:tblPr>
  </w:style>
  <w:style w:type="table" w:styleId="Table203">
    <w:basedOn w:val="TableNormal"/>
    <w:tblPr>
      <w:tblStyleRowBandSize w:val="1"/>
      <w:tblStyleColBandSize w:val="1"/>
      <w:tblCellMar>
        <w:top w:w="100.0" w:type="dxa"/>
        <w:left w:w="100.0" w:type="dxa"/>
        <w:bottom w:w="100.0" w:type="dxa"/>
        <w:right w:w="100.0" w:type="dxa"/>
      </w:tblCellMar>
    </w:tblPr>
  </w:style>
  <w:style w:type="table" w:styleId="Table204">
    <w:basedOn w:val="TableNormal"/>
    <w:tblPr>
      <w:tblStyleRowBandSize w:val="1"/>
      <w:tblStyleColBandSize w:val="1"/>
      <w:tblCellMar>
        <w:top w:w="100.0" w:type="dxa"/>
        <w:left w:w="100.0" w:type="dxa"/>
        <w:bottom w:w="100.0" w:type="dxa"/>
        <w:right w:w="100.0" w:type="dxa"/>
      </w:tblCellMar>
    </w:tblPr>
  </w:style>
  <w:style w:type="table" w:styleId="Table205">
    <w:basedOn w:val="TableNormal"/>
    <w:tblPr>
      <w:tblStyleRowBandSize w:val="1"/>
      <w:tblStyleColBandSize w:val="1"/>
      <w:tblCellMar>
        <w:top w:w="100.0" w:type="dxa"/>
        <w:left w:w="100.0" w:type="dxa"/>
        <w:bottom w:w="100.0" w:type="dxa"/>
        <w:right w:w="100.0" w:type="dxa"/>
      </w:tblCellMar>
    </w:tblPr>
  </w:style>
  <w:style w:type="table" w:styleId="Table206">
    <w:basedOn w:val="TableNormal"/>
    <w:tblPr>
      <w:tblStyleRowBandSize w:val="1"/>
      <w:tblStyleColBandSize w:val="1"/>
      <w:tblCellMar>
        <w:top w:w="100.0" w:type="dxa"/>
        <w:left w:w="100.0" w:type="dxa"/>
        <w:bottom w:w="100.0" w:type="dxa"/>
        <w:right w:w="100.0" w:type="dxa"/>
      </w:tblCellMar>
    </w:tblPr>
  </w:style>
  <w:style w:type="table" w:styleId="Table207">
    <w:basedOn w:val="TableNormal"/>
    <w:tblPr>
      <w:tblStyleRowBandSize w:val="1"/>
      <w:tblStyleColBandSize w:val="1"/>
      <w:tblCellMar>
        <w:top w:w="100.0" w:type="dxa"/>
        <w:left w:w="100.0" w:type="dxa"/>
        <w:bottom w:w="100.0" w:type="dxa"/>
        <w:right w:w="100.0" w:type="dxa"/>
      </w:tblCellMar>
    </w:tblPr>
  </w:style>
  <w:style w:type="table" w:styleId="Table208">
    <w:basedOn w:val="TableNormal"/>
    <w:tblPr>
      <w:tblStyleRowBandSize w:val="1"/>
      <w:tblStyleColBandSize w:val="1"/>
      <w:tblCellMar>
        <w:top w:w="100.0" w:type="dxa"/>
        <w:left w:w="100.0" w:type="dxa"/>
        <w:bottom w:w="100.0" w:type="dxa"/>
        <w:right w:w="100.0" w:type="dxa"/>
      </w:tblCellMar>
    </w:tblPr>
  </w:style>
  <w:style w:type="table" w:styleId="Table209">
    <w:basedOn w:val="TableNormal"/>
    <w:tblPr>
      <w:tblStyleRowBandSize w:val="1"/>
      <w:tblStyleColBandSize w:val="1"/>
      <w:tblCellMar>
        <w:top w:w="100.0" w:type="dxa"/>
        <w:left w:w="100.0" w:type="dxa"/>
        <w:bottom w:w="100.0" w:type="dxa"/>
        <w:right w:w="100.0" w:type="dxa"/>
      </w:tblCellMar>
    </w:tblPr>
  </w:style>
  <w:style w:type="table" w:styleId="Table210">
    <w:basedOn w:val="TableNormal"/>
    <w:tblPr>
      <w:tblStyleRowBandSize w:val="1"/>
      <w:tblStyleColBandSize w:val="1"/>
      <w:tblCellMar>
        <w:top w:w="100.0" w:type="dxa"/>
        <w:left w:w="100.0" w:type="dxa"/>
        <w:bottom w:w="100.0" w:type="dxa"/>
        <w:right w:w="100.0" w:type="dxa"/>
      </w:tblCellMar>
    </w:tblPr>
  </w:style>
  <w:style w:type="table" w:styleId="Table211">
    <w:basedOn w:val="TableNormal"/>
    <w:tblPr>
      <w:tblStyleRowBandSize w:val="1"/>
      <w:tblStyleColBandSize w:val="1"/>
      <w:tblCellMar>
        <w:top w:w="100.0" w:type="dxa"/>
        <w:left w:w="100.0" w:type="dxa"/>
        <w:bottom w:w="100.0" w:type="dxa"/>
        <w:right w:w="100.0" w:type="dxa"/>
      </w:tblCellMar>
    </w:tblPr>
  </w:style>
  <w:style w:type="table" w:styleId="Table212">
    <w:basedOn w:val="TableNormal"/>
    <w:tblPr>
      <w:tblStyleRowBandSize w:val="1"/>
      <w:tblStyleColBandSize w:val="1"/>
      <w:tblCellMar>
        <w:top w:w="100.0" w:type="dxa"/>
        <w:left w:w="100.0" w:type="dxa"/>
        <w:bottom w:w="100.0" w:type="dxa"/>
        <w:right w:w="100.0" w:type="dxa"/>
      </w:tblCellMar>
    </w:tblPr>
  </w:style>
  <w:style w:type="table" w:styleId="Table213">
    <w:basedOn w:val="TableNormal"/>
    <w:tblPr>
      <w:tblStyleRowBandSize w:val="1"/>
      <w:tblStyleColBandSize w:val="1"/>
      <w:tblCellMar>
        <w:top w:w="100.0" w:type="dxa"/>
        <w:left w:w="100.0" w:type="dxa"/>
        <w:bottom w:w="100.0" w:type="dxa"/>
        <w:right w:w="100.0" w:type="dxa"/>
      </w:tblCellMar>
    </w:tblPr>
  </w:style>
  <w:style w:type="table" w:styleId="Table214">
    <w:basedOn w:val="TableNormal"/>
    <w:tblPr>
      <w:tblStyleRowBandSize w:val="1"/>
      <w:tblStyleColBandSize w:val="1"/>
      <w:tblCellMar>
        <w:top w:w="100.0" w:type="dxa"/>
        <w:left w:w="100.0" w:type="dxa"/>
        <w:bottom w:w="100.0" w:type="dxa"/>
        <w:right w:w="100.0" w:type="dxa"/>
      </w:tblCellMar>
    </w:tblPr>
  </w:style>
  <w:style w:type="table" w:styleId="Table215">
    <w:basedOn w:val="TableNormal"/>
    <w:tblPr>
      <w:tblStyleRowBandSize w:val="1"/>
      <w:tblStyleColBandSize w:val="1"/>
      <w:tblCellMar>
        <w:top w:w="100.0" w:type="dxa"/>
        <w:left w:w="100.0" w:type="dxa"/>
        <w:bottom w:w="100.0" w:type="dxa"/>
        <w:right w:w="100.0" w:type="dxa"/>
      </w:tblCellMar>
    </w:tblPr>
  </w:style>
  <w:style w:type="table" w:styleId="Table216">
    <w:basedOn w:val="TableNormal"/>
    <w:tblPr>
      <w:tblStyleRowBandSize w:val="1"/>
      <w:tblStyleColBandSize w:val="1"/>
      <w:tblCellMar>
        <w:top w:w="100.0" w:type="dxa"/>
        <w:left w:w="100.0" w:type="dxa"/>
        <w:bottom w:w="100.0" w:type="dxa"/>
        <w:right w:w="100.0" w:type="dxa"/>
      </w:tblCellMar>
    </w:tblPr>
  </w:style>
  <w:style w:type="table" w:styleId="Table217">
    <w:basedOn w:val="TableNormal"/>
    <w:tblPr>
      <w:tblStyleRowBandSize w:val="1"/>
      <w:tblStyleColBandSize w:val="1"/>
      <w:tblCellMar>
        <w:top w:w="100.0" w:type="dxa"/>
        <w:left w:w="100.0" w:type="dxa"/>
        <w:bottom w:w="100.0" w:type="dxa"/>
        <w:right w:w="100.0" w:type="dxa"/>
      </w:tblCellMar>
    </w:tblPr>
  </w:style>
  <w:style w:type="table" w:styleId="Table218">
    <w:basedOn w:val="TableNormal"/>
    <w:tblPr>
      <w:tblStyleRowBandSize w:val="1"/>
      <w:tblStyleColBandSize w:val="1"/>
      <w:tblCellMar>
        <w:top w:w="100.0" w:type="dxa"/>
        <w:left w:w="100.0" w:type="dxa"/>
        <w:bottom w:w="100.0" w:type="dxa"/>
        <w:right w:w="100.0" w:type="dxa"/>
      </w:tblCellMar>
    </w:tblPr>
  </w:style>
  <w:style w:type="table" w:styleId="Table219">
    <w:basedOn w:val="TableNormal"/>
    <w:tblPr>
      <w:tblStyleRowBandSize w:val="1"/>
      <w:tblStyleColBandSize w:val="1"/>
      <w:tblCellMar>
        <w:top w:w="100.0" w:type="dxa"/>
        <w:left w:w="100.0" w:type="dxa"/>
        <w:bottom w:w="100.0" w:type="dxa"/>
        <w:right w:w="100.0" w:type="dxa"/>
      </w:tblCellMar>
    </w:tblPr>
  </w:style>
  <w:style w:type="table" w:styleId="Table220">
    <w:basedOn w:val="TableNormal"/>
    <w:tblPr>
      <w:tblStyleRowBandSize w:val="1"/>
      <w:tblStyleColBandSize w:val="1"/>
      <w:tblCellMar>
        <w:top w:w="100.0" w:type="dxa"/>
        <w:left w:w="100.0" w:type="dxa"/>
        <w:bottom w:w="100.0" w:type="dxa"/>
        <w:right w:w="100.0" w:type="dxa"/>
      </w:tblCellMar>
    </w:tblPr>
  </w:style>
  <w:style w:type="table" w:styleId="Table221">
    <w:basedOn w:val="TableNormal"/>
    <w:tblPr>
      <w:tblStyleRowBandSize w:val="1"/>
      <w:tblStyleColBandSize w:val="1"/>
      <w:tblCellMar>
        <w:top w:w="100.0" w:type="dxa"/>
        <w:left w:w="100.0" w:type="dxa"/>
        <w:bottom w:w="100.0" w:type="dxa"/>
        <w:right w:w="100.0" w:type="dxa"/>
      </w:tblCellMar>
    </w:tblPr>
  </w:style>
  <w:style w:type="table" w:styleId="Table222">
    <w:basedOn w:val="TableNormal"/>
    <w:tblPr>
      <w:tblStyleRowBandSize w:val="1"/>
      <w:tblStyleColBandSize w:val="1"/>
      <w:tblCellMar>
        <w:top w:w="100.0" w:type="dxa"/>
        <w:left w:w="100.0" w:type="dxa"/>
        <w:bottom w:w="100.0" w:type="dxa"/>
        <w:right w:w="100.0" w:type="dxa"/>
      </w:tblCellMar>
    </w:tblPr>
  </w:style>
  <w:style w:type="table" w:styleId="Table223">
    <w:basedOn w:val="TableNormal"/>
    <w:tblPr>
      <w:tblStyleRowBandSize w:val="1"/>
      <w:tblStyleColBandSize w:val="1"/>
      <w:tblCellMar>
        <w:top w:w="100.0" w:type="dxa"/>
        <w:left w:w="100.0" w:type="dxa"/>
        <w:bottom w:w="100.0" w:type="dxa"/>
        <w:right w:w="100.0" w:type="dxa"/>
      </w:tblCellMar>
    </w:tblPr>
  </w:style>
  <w:style w:type="table" w:styleId="Table224">
    <w:basedOn w:val="TableNormal"/>
    <w:tblPr>
      <w:tblStyleRowBandSize w:val="1"/>
      <w:tblStyleColBandSize w:val="1"/>
      <w:tblCellMar>
        <w:top w:w="100.0" w:type="dxa"/>
        <w:left w:w="100.0" w:type="dxa"/>
        <w:bottom w:w="100.0" w:type="dxa"/>
        <w:right w:w="100.0" w:type="dxa"/>
      </w:tblCellMar>
    </w:tblPr>
  </w:style>
  <w:style w:type="table" w:styleId="Table225">
    <w:basedOn w:val="TableNormal"/>
    <w:tblPr>
      <w:tblStyleRowBandSize w:val="1"/>
      <w:tblStyleColBandSize w:val="1"/>
      <w:tblCellMar>
        <w:top w:w="100.0" w:type="dxa"/>
        <w:left w:w="100.0" w:type="dxa"/>
        <w:bottom w:w="100.0" w:type="dxa"/>
        <w:right w:w="100.0" w:type="dxa"/>
      </w:tblCellMar>
    </w:tblPr>
  </w:style>
  <w:style w:type="table" w:styleId="Table226">
    <w:basedOn w:val="TableNormal"/>
    <w:tblPr>
      <w:tblStyleRowBandSize w:val="1"/>
      <w:tblStyleColBandSize w:val="1"/>
      <w:tblCellMar>
        <w:top w:w="100.0" w:type="dxa"/>
        <w:left w:w="100.0" w:type="dxa"/>
        <w:bottom w:w="100.0" w:type="dxa"/>
        <w:right w:w="100.0" w:type="dxa"/>
      </w:tblCellMar>
    </w:tblPr>
  </w:style>
  <w:style w:type="table" w:styleId="Table227">
    <w:basedOn w:val="TableNormal"/>
    <w:tblPr>
      <w:tblStyleRowBandSize w:val="1"/>
      <w:tblStyleColBandSize w:val="1"/>
      <w:tblCellMar>
        <w:top w:w="100.0" w:type="dxa"/>
        <w:left w:w="100.0" w:type="dxa"/>
        <w:bottom w:w="100.0" w:type="dxa"/>
        <w:right w:w="100.0" w:type="dxa"/>
      </w:tblCellMar>
    </w:tblPr>
  </w:style>
  <w:style w:type="table" w:styleId="Table228">
    <w:basedOn w:val="TableNormal"/>
    <w:tblPr>
      <w:tblStyleRowBandSize w:val="1"/>
      <w:tblStyleColBandSize w:val="1"/>
      <w:tblCellMar>
        <w:top w:w="100.0" w:type="dxa"/>
        <w:left w:w="100.0" w:type="dxa"/>
        <w:bottom w:w="100.0" w:type="dxa"/>
        <w:right w:w="100.0" w:type="dxa"/>
      </w:tblCellMar>
    </w:tblPr>
  </w:style>
  <w:style w:type="table" w:styleId="Table229">
    <w:basedOn w:val="TableNormal"/>
    <w:tblPr>
      <w:tblStyleRowBandSize w:val="1"/>
      <w:tblStyleColBandSize w:val="1"/>
      <w:tblCellMar>
        <w:top w:w="100.0" w:type="dxa"/>
        <w:left w:w="100.0" w:type="dxa"/>
        <w:bottom w:w="100.0" w:type="dxa"/>
        <w:right w:w="100.0" w:type="dxa"/>
      </w:tblCellMar>
    </w:tblPr>
  </w:style>
  <w:style w:type="table" w:styleId="Table230">
    <w:basedOn w:val="TableNormal"/>
    <w:tblPr>
      <w:tblStyleRowBandSize w:val="1"/>
      <w:tblStyleColBandSize w:val="1"/>
      <w:tblCellMar>
        <w:top w:w="100.0" w:type="dxa"/>
        <w:left w:w="100.0" w:type="dxa"/>
        <w:bottom w:w="100.0" w:type="dxa"/>
        <w:right w:w="100.0" w:type="dxa"/>
      </w:tblCellMar>
    </w:tblPr>
  </w:style>
  <w:style w:type="table" w:styleId="Table231">
    <w:basedOn w:val="TableNormal"/>
    <w:tblPr>
      <w:tblStyleRowBandSize w:val="1"/>
      <w:tblStyleColBandSize w:val="1"/>
      <w:tblCellMar>
        <w:top w:w="100.0" w:type="dxa"/>
        <w:left w:w="100.0" w:type="dxa"/>
        <w:bottom w:w="100.0" w:type="dxa"/>
        <w:right w:w="100.0" w:type="dxa"/>
      </w:tblCellMar>
    </w:tblPr>
  </w:style>
  <w:style w:type="table" w:styleId="Table232">
    <w:basedOn w:val="TableNormal"/>
    <w:tblPr>
      <w:tblStyleRowBandSize w:val="1"/>
      <w:tblStyleColBandSize w:val="1"/>
      <w:tblCellMar>
        <w:top w:w="100.0" w:type="dxa"/>
        <w:left w:w="100.0" w:type="dxa"/>
        <w:bottom w:w="100.0" w:type="dxa"/>
        <w:right w:w="100.0" w:type="dxa"/>
      </w:tblCellMar>
    </w:tblPr>
  </w:style>
  <w:style w:type="table" w:styleId="Table233">
    <w:basedOn w:val="TableNormal"/>
    <w:tblPr>
      <w:tblStyleRowBandSize w:val="1"/>
      <w:tblStyleColBandSize w:val="1"/>
      <w:tblCellMar>
        <w:top w:w="100.0" w:type="dxa"/>
        <w:left w:w="100.0" w:type="dxa"/>
        <w:bottom w:w="100.0" w:type="dxa"/>
        <w:right w:w="100.0" w:type="dxa"/>
      </w:tblCellMar>
    </w:tblPr>
  </w:style>
  <w:style w:type="table" w:styleId="Table234">
    <w:basedOn w:val="TableNormal"/>
    <w:tblPr>
      <w:tblStyleRowBandSize w:val="1"/>
      <w:tblStyleColBandSize w:val="1"/>
      <w:tblCellMar>
        <w:top w:w="100.0" w:type="dxa"/>
        <w:left w:w="100.0" w:type="dxa"/>
        <w:bottom w:w="100.0" w:type="dxa"/>
        <w:right w:w="100.0" w:type="dxa"/>
      </w:tblCellMar>
    </w:tblPr>
  </w:style>
  <w:style w:type="table" w:styleId="Table235">
    <w:basedOn w:val="TableNormal"/>
    <w:tblPr>
      <w:tblStyleRowBandSize w:val="1"/>
      <w:tblStyleColBandSize w:val="1"/>
      <w:tblCellMar>
        <w:top w:w="100.0" w:type="dxa"/>
        <w:left w:w="100.0" w:type="dxa"/>
        <w:bottom w:w="100.0" w:type="dxa"/>
        <w:right w:w="100.0" w:type="dxa"/>
      </w:tblCellMar>
    </w:tblPr>
  </w:style>
  <w:style w:type="table" w:styleId="Table236">
    <w:basedOn w:val="TableNormal"/>
    <w:tblPr>
      <w:tblStyleRowBandSize w:val="1"/>
      <w:tblStyleColBandSize w:val="1"/>
      <w:tblCellMar>
        <w:top w:w="100.0" w:type="dxa"/>
        <w:left w:w="100.0" w:type="dxa"/>
        <w:bottom w:w="100.0" w:type="dxa"/>
        <w:right w:w="100.0" w:type="dxa"/>
      </w:tblCellMar>
    </w:tblPr>
  </w:style>
  <w:style w:type="table" w:styleId="Table237">
    <w:basedOn w:val="TableNormal"/>
    <w:tblPr>
      <w:tblStyleRowBandSize w:val="1"/>
      <w:tblStyleColBandSize w:val="1"/>
      <w:tblCellMar>
        <w:top w:w="100.0" w:type="dxa"/>
        <w:left w:w="100.0" w:type="dxa"/>
        <w:bottom w:w="100.0" w:type="dxa"/>
        <w:right w:w="100.0" w:type="dxa"/>
      </w:tblCellMar>
    </w:tblPr>
  </w:style>
  <w:style w:type="table" w:styleId="Table238">
    <w:basedOn w:val="TableNormal"/>
    <w:tblPr>
      <w:tblStyleRowBandSize w:val="1"/>
      <w:tblStyleColBandSize w:val="1"/>
      <w:tblCellMar>
        <w:top w:w="100.0" w:type="dxa"/>
        <w:left w:w="100.0" w:type="dxa"/>
        <w:bottom w:w="100.0" w:type="dxa"/>
        <w:right w:w="100.0" w:type="dxa"/>
      </w:tblCellMar>
    </w:tblPr>
  </w:style>
  <w:style w:type="table" w:styleId="Table239">
    <w:basedOn w:val="TableNormal"/>
    <w:tblPr>
      <w:tblStyleRowBandSize w:val="1"/>
      <w:tblStyleColBandSize w:val="1"/>
      <w:tblCellMar>
        <w:top w:w="100.0" w:type="dxa"/>
        <w:left w:w="100.0" w:type="dxa"/>
        <w:bottom w:w="100.0" w:type="dxa"/>
        <w:right w:w="100.0" w:type="dxa"/>
      </w:tblCellMar>
    </w:tblPr>
  </w:style>
  <w:style w:type="table" w:styleId="Table240">
    <w:basedOn w:val="TableNormal"/>
    <w:tblPr>
      <w:tblStyleRowBandSize w:val="1"/>
      <w:tblStyleColBandSize w:val="1"/>
      <w:tblCellMar>
        <w:top w:w="100.0" w:type="dxa"/>
        <w:left w:w="100.0" w:type="dxa"/>
        <w:bottom w:w="100.0" w:type="dxa"/>
        <w:right w:w="100.0" w:type="dxa"/>
      </w:tblCellMar>
    </w:tblPr>
  </w:style>
  <w:style w:type="table" w:styleId="Table241">
    <w:basedOn w:val="TableNormal"/>
    <w:tblPr>
      <w:tblStyleRowBandSize w:val="1"/>
      <w:tblStyleColBandSize w:val="1"/>
      <w:tblCellMar>
        <w:top w:w="100.0" w:type="dxa"/>
        <w:left w:w="100.0" w:type="dxa"/>
        <w:bottom w:w="100.0" w:type="dxa"/>
        <w:right w:w="100.0" w:type="dxa"/>
      </w:tblCellMar>
    </w:tblPr>
  </w:style>
  <w:style w:type="table" w:styleId="Table242">
    <w:basedOn w:val="TableNormal"/>
    <w:tblPr>
      <w:tblStyleRowBandSize w:val="1"/>
      <w:tblStyleColBandSize w:val="1"/>
      <w:tblCellMar>
        <w:top w:w="100.0" w:type="dxa"/>
        <w:left w:w="100.0" w:type="dxa"/>
        <w:bottom w:w="100.0" w:type="dxa"/>
        <w:right w:w="100.0" w:type="dxa"/>
      </w:tblCellMar>
    </w:tblPr>
  </w:style>
  <w:style w:type="table" w:styleId="Table243">
    <w:basedOn w:val="TableNormal"/>
    <w:tblPr>
      <w:tblStyleRowBandSize w:val="1"/>
      <w:tblStyleColBandSize w:val="1"/>
      <w:tblCellMar>
        <w:top w:w="100.0" w:type="dxa"/>
        <w:left w:w="100.0" w:type="dxa"/>
        <w:bottom w:w="100.0" w:type="dxa"/>
        <w:right w:w="100.0" w:type="dxa"/>
      </w:tblCellMar>
    </w:tblPr>
  </w:style>
  <w:style w:type="table" w:styleId="Table244">
    <w:basedOn w:val="TableNormal"/>
    <w:tblPr>
      <w:tblStyleRowBandSize w:val="1"/>
      <w:tblStyleColBandSize w:val="1"/>
      <w:tblCellMar>
        <w:top w:w="100.0" w:type="dxa"/>
        <w:left w:w="100.0" w:type="dxa"/>
        <w:bottom w:w="100.0" w:type="dxa"/>
        <w:right w:w="100.0" w:type="dxa"/>
      </w:tblCellMar>
    </w:tblPr>
  </w:style>
  <w:style w:type="table" w:styleId="Table245">
    <w:basedOn w:val="TableNormal"/>
    <w:tblPr>
      <w:tblStyleRowBandSize w:val="1"/>
      <w:tblStyleColBandSize w:val="1"/>
      <w:tblCellMar>
        <w:top w:w="100.0" w:type="dxa"/>
        <w:left w:w="100.0" w:type="dxa"/>
        <w:bottom w:w="100.0" w:type="dxa"/>
        <w:right w:w="100.0" w:type="dxa"/>
      </w:tblCellMar>
    </w:tblPr>
  </w:style>
  <w:style w:type="table" w:styleId="Table246">
    <w:basedOn w:val="TableNormal"/>
    <w:tblPr>
      <w:tblStyleRowBandSize w:val="1"/>
      <w:tblStyleColBandSize w:val="1"/>
      <w:tblCellMar>
        <w:top w:w="100.0" w:type="dxa"/>
        <w:left w:w="100.0" w:type="dxa"/>
        <w:bottom w:w="100.0" w:type="dxa"/>
        <w:right w:w="100.0" w:type="dxa"/>
      </w:tblCellMar>
    </w:tblPr>
  </w:style>
  <w:style w:type="table" w:styleId="Table247">
    <w:basedOn w:val="TableNormal"/>
    <w:tblPr>
      <w:tblStyleRowBandSize w:val="1"/>
      <w:tblStyleColBandSize w:val="1"/>
      <w:tblCellMar>
        <w:top w:w="100.0" w:type="dxa"/>
        <w:left w:w="100.0" w:type="dxa"/>
        <w:bottom w:w="100.0" w:type="dxa"/>
        <w:right w:w="100.0" w:type="dxa"/>
      </w:tblCellMar>
    </w:tblPr>
  </w:style>
  <w:style w:type="table" w:styleId="Table248">
    <w:basedOn w:val="TableNormal"/>
    <w:tblPr>
      <w:tblStyleRowBandSize w:val="1"/>
      <w:tblStyleColBandSize w:val="1"/>
      <w:tblCellMar>
        <w:top w:w="100.0" w:type="dxa"/>
        <w:left w:w="100.0" w:type="dxa"/>
        <w:bottom w:w="100.0" w:type="dxa"/>
        <w:right w:w="100.0" w:type="dxa"/>
      </w:tblCellMar>
    </w:tblPr>
  </w:style>
  <w:style w:type="table" w:styleId="Table249">
    <w:basedOn w:val="TableNormal"/>
    <w:tblPr>
      <w:tblStyleRowBandSize w:val="1"/>
      <w:tblStyleColBandSize w:val="1"/>
      <w:tblCellMar>
        <w:top w:w="100.0" w:type="dxa"/>
        <w:left w:w="100.0" w:type="dxa"/>
        <w:bottom w:w="100.0" w:type="dxa"/>
        <w:right w:w="100.0" w:type="dxa"/>
      </w:tblCellMar>
    </w:tblPr>
  </w:style>
  <w:style w:type="table" w:styleId="Table250">
    <w:basedOn w:val="TableNormal"/>
    <w:tblPr>
      <w:tblStyleRowBandSize w:val="1"/>
      <w:tblStyleColBandSize w:val="1"/>
      <w:tblCellMar>
        <w:top w:w="100.0" w:type="dxa"/>
        <w:left w:w="100.0" w:type="dxa"/>
        <w:bottom w:w="100.0" w:type="dxa"/>
        <w:right w:w="100.0" w:type="dxa"/>
      </w:tblCellMar>
    </w:tblPr>
  </w:style>
  <w:style w:type="table" w:styleId="Table251">
    <w:basedOn w:val="TableNormal"/>
    <w:tblPr>
      <w:tblStyleRowBandSize w:val="1"/>
      <w:tblStyleColBandSize w:val="1"/>
      <w:tblCellMar>
        <w:top w:w="100.0" w:type="dxa"/>
        <w:left w:w="100.0" w:type="dxa"/>
        <w:bottom w:w="100.0" w:type="dxa"/>
        <w:right w:w="100.0" w:type="dxa"/>
      </w:tblCellMar>
    </w:tblPr>
  </w:style>
  <w:style w:type="table" w:styleId="Table252">
    <w:basedOn w:val="TableNormal"/>
    <w:tblPr>
      <w:tblStyleRowBandSize w:val="1"/>
      <w:tblStyleColBandSize w:val="1"/>
      <w:tblCellMar>
        <w:top w:w="100.0" w:type="dxa"/>
        <w:left w:w="100.0" w:type="dxa"/>
        <w:bottom w:w="100.0" w:type="dxa"/>
        <w:right w:w="100.0" w:type="dxa"/>
      </w:tblCellMar>
    </w:tblPr>
  </w:style>
  <w:style w:type="table" w:styleId="Table253">
    <w:basedOn w:val="TableNormal"/>
    <w:tblPr>
      <w:tblStyleRowBandSize w:val="1"/>
      <w:tblStyleColBandSize w:val="1"/>
      <w:tblCellMar>
        <w:top w:w="100.0" w:type="dxa"/>
        <w:left w:w="100.0" w:type="dxa"/>
        <w:bottom w:w="100.0" w:type="dxa"/>
        <w:right w:w="100.0" w:type="dxa"/>
      </w:tblCellMar>
    </w:tblPr>
  </w:style>
  <w:style w:type="table" w:styleId="Table254">
    <w:basedOn w:val="TableNormal"/>
    <w:tblPr>
      <w:tblStyleRowBandSize w:val="1"/>
      <w:tblStyleColBandSize w:val="1"/>
      <w:tblCellMar>
        <w:top w:w="100.0" w:type="dxa"/>
        <w:left w:w="100.0" w:type="dxa"/>
        <w:bottom w:w="100.0" w:type="dxa"/>
        <w:right w:w="100.0" w:type="dxa"/>
      </w:tblCellMar>
    </w:tblPr>
  </w:style>
  <w:style w:type="table" w:styleId="Table255">
    <w:basedOn w:val="TableNormal"/>
    <w:tblPr>
      <w:tblStyleRowBandSize w:val="1"/>
      <w:tblStyleColBandSize w:val="1"/>
      <w:tblCellMar>
        <w:top w:w="100.0" w:type="dxa"/>
        <w:left w:w="100.0" w:type="dxa"/>
        <w:bottom w:w="100.0" w:type="dxa"/>
        <w:right w:w="100.0" w:type="dxa"/>
      </w:tblCellMar>
    </w:tblPr>
  </w:style>
  <w:style w:type="table" w:styleId="Table256">
    <w:basedOn w:val="TableNormal"/>
    <w:tblPr>
      <w:tblStyleRowBandSize w:val="1"/>
      <w:tblStyleColBandSize w:val="1"/>
      <w:tblCellMar>
        <w:top w:w="100.0" w:type="dxa"/>
        <w:left w:w="100.0" w:type="dxa"/>
        <w:bottom w:w="100.0" w:type="dxa"/>
        <w:right w:w="100.0" w:type="dxa"/>
      </w:tblCellMar>
    </w:tblPr>
  </w:style>
  <w:style w:type="table" w:styleId="Table257">
    <w:basedOn w:val="TableNormal"/>
    <w:tblPr>
      <w:tblStyleRowBandSize w:val="1"/>
      <w:tblStyleColBandSize w:val="1"/>
      <w:tblCellMar>
        <w:top w:w="100.0" w:type="dxa"/>
        <w:left w:w="100.0" w:type="dxa"/>
        <w:bottom w:w="100.0" w:type="dxa"/>
        <w:right w:w="100.0" w:type="dxa"/>
      </w:tblCellMar>
    </w:tblPr>
  </w:style>
  <w:style w:type="table" w:styleId="Table258">
    <w:basedOn w:val="TableNormal"/>
    <w:tblPr>
      <w:tblStyleRowBandSize w:val="1"/>
      <w:tblStyleColBandSize w:val="1"/>
      <w:tblCellMar>
        <w:top w:w="100.0" w:type="dxa"/>
        <w:left w:w="100.0" w:type="dxa"/>
        <w:bottom w:w="100.0" w:type="dxa"/>
        <w:right w:w="100.0" w:type="dxa"/>
      </w:tblCellMar>
    </w:tblPr>
  </w:style>
  <w:style w:type="table" w:styleId="Table259">
    <w:basedOn w:val="TableNormal"/>
    <w:tblPr>
      <w:tblStyleRowBandSize w:val="1"/>
      <w:tblStyleColBandSize w:val="1"/>
      <w:tblCellMar>
        <w:top w:w="100.0" w:type="dxa"/>
        <w:left w:w="100.0" w:type="dxa"/>
        <w:bottom w:w="100.0" w:type="dxa"/>
        <w:right w:w="100.0" w:type="dxa"/>
      </w:tblCellMar>
    </w:tblPr>
  </w:style>
  <w:style w:type="table" w:styleId="Table260">
    <w:basedOn w:val="TableNormal"/>
    <w:tblPr>
      <w:tblStyleRowBandSize w:val="1"/>
      <w:tblStyleColBandSize w:val="1"/>
      <w:tblCellMar>
        <w:top w:w="100.0" w:type="dxa"/>
        <w:left w:w="100.0" w:type="dxa"/>
        <w:bottom w:w="100.0" w:type="dxa"/>
        <w:right w:w="100.0" w:type="dxa"/>
      </w:tblCellMar>
    </w:tblPr>
  </w:style>
  <w:style w:type="table" w:styleId="Table261">
    <w:basedOn w:val="TableNormal"/>
    <w:tblPr>
      <w:tblStyleRowBandSize w:val="1"/>
      <w:tblStyleColBandSize w:val="1"/>
      <w:tblCellMar>
        <w:top w:w="100.0" w:type="dxa"/>
        <w:left w:w="100.0" w:type="dxa"/>
        <w:bottom w:w="100.0" w:type="dxa"/>
        <w:right w:w="100.0" w:type="dxa"/>
      </w:tblCellMar>
    </w:tblPr>
  </w:style>
  <w:style w:type="table" w:styleId="Table262">
    <w:basedOn w:val="TableNormal"/>
    <w:tblPr>
      <w:tblStyleRowBandSize w:val="1"/>
      <w:tblStyleColBandSize w:val="1"/>
      <w:tblCellMar>
        <w:top w:w="100.0" w:type="dxa"/>
        <w:left w:w="100.0" w:type="dxa"/>
        <w:bottom w:w="100.0" w:type="dxa"/>
        <w:right w:w="100.0" w:type="dxa"/>
      </w:tblCellMar>
    </w:tblPr>
  </w:style>
  <w:style w:type="table" w:styleId="Table263">
    <w:basedOn w:val="TableNormal"/>
    <w:tblPr>
      <w:tblStyleRowBandSize w:val="1"/>
      <w:tblStyleColBandSize w:val="1"/>
      <w:tblCellMar>
        <w:top w:w="100.0" w:type="dxa"/>
        <w:left w:w="100.0" w:type="dxa"/>
        <w:bottom w:w="100.0" w:type="dxa"/>
        <w:right w:w="100.0" w:type="dxa"/>
      </w:tblCellMar>
    </w:tblPr>
  </w:style>
  <w:style w:type="table" w:styleId="Table264">
    <w:basedOn w:val="TableNormal"/>
    <w:tblPr>
      <w:tblStyleRowBandSize w:val="1"/>
      <w:tblStyleColBandSize w:val="1"/>
      <w:tblCellMar>
        <w:top w:w="100.0" w:type="dxa"/>
        <w:left w:w="100.0" w:type="dxa"/>
        <w:bottom w:w="100.0" w:type="dxa"/>
        <w:right w:w="100.0" w:type="dxa"/>
      </w:tblCellMar>
    </w:tblPr>
  </w:style>
  <w:style w:type="table" w:styleId="Table265">
    <w:basedOn w:val="TableNormal"/>
    <w:tblPr>
      <w:tblStyleRowBandSize w:val="1"/>
      <w:tblStyleColBandSize w:val="1"/>
      <w:tblCellMar>
        <w:top w:w="100.0" w:type="dxa"/>
        <w:left w:w="100.0" w:type="dxa"/>
        <w:bottom w:w="100.0" w:type="dxa"/>
        <w:right w:w="100.0" w:type="dxa"/>
      </w:tblCellMar>
    </w:tblPr>
  </w:style>
  <w:style w:type="table" w:styleId="Table266">
    <w:basedOn w:val="TableNormal"/>
    <w:tblPr>
      <w:tblStyleRowBandSize w:val="1"/>
      <w:tblStyleColBandSize w:val="1"/>
      <w:tblCellMar>
        <w:top w:w="100.0" w:type="dxa"/>
        <w:left w:w="100.0" w:type="dxa"/>
        <w:bottom w:w="100.0" w:type="dxa"/>
        <w:right w:w="100.0" w:type="dxa"/>
      </w:tblCellMar>
    </w:tblPr>
  </w:style>
  <w:style w:type="table" w:styleId="Table267">
    <w:basedOn w:val="TableNormal"/>
    <w:tblPr>
      <w:tblStyleRowBandSize w:val="1"/>
      <w:tblStyleColBandSize w:val="1"/>
      <w:tblCellMar>
        <w:top w:w="100.0" w:type="dxa"/>
        <w:left w:w="100.0" w:type="dxa"/>
        <w:bottom w:w="100.0" w:type="dxa"/>
        <w:right w:w="100.0" w:type="dxa"/>
      </w:tblCellMar>
    </w:tblPr>
  </w:style>
  <w:style w:type="table" w:styleId="Table268">
    <w:basedOn w:val="TableNormal"/>
    <w:tblPr>
      <w:tblStyleRowBandSize w:val="1"/>
      <w:tblStyleColBandSize w:val="1"/>
      <w:tblCellMar>
        <w:top w:w="100.0" w:type="dxa"/>
        <w:left w:w="100.0" w:type="dxa"/>
        <w:bottom w:w="100.0" w:type="dxa"/>
        <w:right w:w="100.0" w:type="dxa"/>
      </w:tblCellMar>
    </w:tblPr>
  </w:style>
  <w:style w:type="table" w:styleId="Table269">
    <w:basedOn w:val="TableNormal"/>
    <w:tblPr>
      <w:tblStyleRowBandSize w:val="1"/>
      <w:tblStyleColBandSize w:val="1"/>
      <w:tblCellMar>
        <w:top w:w="100.0" w:type="dxa"/>
        <w:left w:w="100.0" w:type="dxa"/>
        <w:bottom w:w="100.0" w:type="dxa"/>
        <w:right w:w="100.0" w:type="dxa"/>
      </w:tblCellMar>
    </w:tblPr>
  </w:style>
  <w:style w:type="table" w:styleId="Table270">
    <w:basedOn w:val="TableNormal"/>
    <w:tblPr>
      <w:tblStyleRowBandSize w:val="1"/>
      <w:tblStyleColBandSize w:val="1"/>
      <w:tblCellMar>
        <w:top w:w="100.0" w:type="dxa"/>
        <w:left w:w="100.0" w:type="dxa"/>
        <w:bottom w:w="100.0" w:type="dxa"/>
        <w:right w:w="100.0" w:type="dxa"/>
      </w:tblCellMar>
    </w:tblPr>
  </w:style>
  <w:style w:type="table" w:styleId="Table271">
    <w:basedOn w:val="TableNormal"/>
    <w:tblPr>
      <w:tblStyleRowBandSize w:val="1"/>
      <w:tblStyleColBandSize w:val="1"/>
      <w:tblCellMar>
        <w:top w:w="100.0" w:type="dxa"/>
        <w:left w:w="100.0" w:type="dxa"/>
        <w:bottom w:w="100.0" w:type="dxa"/>
        <w:right w:w="100.0" w:type="dxa"/>
      </w:tblCellMar>
    </w:tblPr>
  </w:style>
  <w:style w:type="table" w:styleId="Table272">
    <w:basedOn w:val="TableNormal"/>
    <w:tblPr>
      <w:tblStyleRowBandSize w:val="1"/>
      <w:tblStyleColBandSize w:val="1"/>
      <w:tblCellMar>
        <w:top w:w="100.0" w:type="dxa"/>
        <w:left w:w="100.0" w:type="dxa"/>
        <w:bottom w:w="100.0" w:type="dxa"/>
        <w:right w:w="100.0" w:type="dxa"/>
      </w:tblCellMar>
    </w:tblPr>
  </w:style>
  <w:style w:type="table" w:styleId="Table273">
    <w:basedOn w:val="TableNormal"/>
    <w:tblPr>
      <w:tblStyleRowBandSize w:val="1"/>
      <w:tblStyleColBandSize w:val="1"/>
      <w:tblCellMar>
        <w:top w:w="100.0" w:type="dxa"/>
        <w:left w:w="100.0" w:type="dxa"/>
        <w:bottom w:w="100.0" w:type="dxa"/>
        <w:right w:w="100.0" w:type="dxa"/>
      </w:tblCellMar>
    </w:tblPr>
  </w:style>
  <w:style w:type="table" w:styleId="Table274">
    <w:basedOn w:val="TableNormal"/>
    <w:tblPr>
      <w:tblStyleRowBandSize w:val="1"/>
      <w:tblStyleColBandSize w:val="1"/>
      <w:tblCellMar>
        <w:top w:w="100.0" w:type="dxa"/>
        <w:left w:w="100.0" w:type="dxa"/>
        <w:bottom w:w="100.0" w:type="dxa"/>
        <w:right w:w="100.0" w:type="dxa"/>
      </w:tblCellMar>
    </w:tblPr>
  </w:style>
  <w:style w:type="table" w:styleId="Table275">
    <w:basedOn w:val="TableNormal"/>
    <w:tblPr>
      <w:tblStyleRowBandSize w:val="1"/>
      <w:tblStyleColBandSize w:val="1"/>
      <w:tblCellMar>
        <w:top w:w="100.0" w:type="dxa"/>
        <w:left w:w="100.0" w:type="dxa"/>
        <w:bottom w:w="100.0" w:type="dxa"/>
        <w:right w:w="100.0" w:type="dxa"/>
      </w:tblCellMar>
    </w:tblPr>
  </w:style>
  <w:style w:type="table" w:styleId="Table276">
    <w:basedOn w:val="TableNormal"/>
    <w:tblPr>
      <w:tblStyleRowBandSize w:val="1"/>
      <w:tblStyleColBandSize w:val="1"/>
      <w:tblCellMar>
        <w:top w:w="100.0" w:type="dxa"/>
        <w:left w:w="100.0" w:type="dxa"/>
        <w:bottom w:w="100.0" w:type="dxa"/>
        <w:right w:w="100.0" w:type="dxa"/>
      </w:tblCellMar>
    </w:tblPr>
  </w:style>
  <w:style w:type="table" w:styleId="Table277">
    <w:basedOn w:val="TableNormal"/>
    <w:tblPr>
      <w:tblStyleRowBandSize w:val="1"/>
      <w:tblStyleColBandSize w:val="1"/>
      <w:tblCellMar>
        <w:top w:w="100.0" w:type="dxa"/>
        <w:left w:w="100.0" w:type="dxa"/>
        <w:bottom w:w="100.0" w:type="dxa"/>
        <w:right w:w="100.0" w:type="dxa"/>
      </w:tblCellMar>
    </w:tblPr>
  </w:style>
  <w:style w:type="table" w:styleId="Table278">
    <w:basedOn w:val="TableNormal"/>
    <w:tblPr>
      <w:tblStyleRowBandSize w:val="1"/>
      <w:tblStyleColBandSize w:val="1"/>
      <w:tblCellMar>
        <w:top w:w="100.0" w:type="dxa"/>
        <w:left w:w="100.0" w:type="dxa"/>
        <w:bottom w:w="100.0" w:type="dxa"/>
        <w:right w:w="100.0" w:type="dxa"/>
      </w:tblCellMar>
    </w:tblPr>
  </w:style>
  <w:style w:type="table" w:styleId="Table279">
    <w:basedOn w:val="TableNormal"/>
    <w:tblPr>
      <w:tblStyleRowBandSize w:val="1"/>
      <w:tblStyleColBandSize w:val="1"/>
      <w:tblCellMar>
        <w:top w:w="100.0" w:type="dxa"/>
        <w:left w:w="100.0" w:type="dxa"/>
        <w:bottom w:w="100.0" w:type="dxa"/>
        <w:right w:w="100.0" w:type="dxa"/>
      </w:tblCellMar>
    </w:tblPr>
  </w:style>
  <w:style w:type="table" w:styleId="Table280">
    <w:basedOn w:val="TableNormal"/>
    <w:tblPr>
      <w:tblStyleRowBandSize w:val="1"/>
      <w:tblStyleColBandSize w:val="1"/>
      <w:tblCellMar>
        <w:top w:w="100.0" w:type="dxa"/>
        <w:left w:w="100.0" w:type="dxa"/>
        <w:bottom w:w="100.0" w:type="dxa"/>
        <w:right w:w="100.0" w:type="dxa"/>
      </w:tblCellMar>
    </w:tblPr>
  </w:style>
  <w:style w:type="table" w:styleId="Table281">
    <w:basedOn w:val="TableNormal"/>
    <w:tblPr>
      <w:tblStyleRowBandSize w:val="1"/>
      <w:tblStyleColBandSize w:val="1"/>
      <w:tblCellMar>
        <w:top w:w="100.0" w:type="dxa"/>
        <w:left w:w="100.0" w:type="dxa"/>
        <w:bottom w:w="100.0" w:type="dxa"/>
        <w:right w:w="100.0" w:type="dxa"/>
      </w:tblCellMar>
    </w:tblPr>
  </w:style>
  <w:style w:type="table" w:styleId="Table282">
    <w:basedOn w:val="TableNormal"/>
    <w:tblPr>
      <w:tblStyleRowBandSize w:val="1"/>
      <w:tblStyleColBandSize w:val="1"/>
      <w:tblCellMar>
        <w:top w:w="100.0" w:type="dxa"/>
        <w:left w:w="100.0" w:type="dxa"/>
        <w:bottom w:w="100.0" w:type="dxa"/>
        <w:right w:w="100.0" w:type="dxa"/>
      </w:tblCellMar>
    </w:tblPr>
  </w:style>
  <w:style w:type="table" w:styleId="Table283">
    <w:basedOn w:val="TableNormal"/>
    <w:tblPr>
      <w:tblStyleRowBandSize w:val="1"/>
      <w:tblStyleColBandSize w:val="1"/>
      <w:tblCellMar>
        <w:top w:w="100.0" w:type="dxa"/>
        <w:left w:w="100.0" w:type="dxa"/>
        <w:bottom w:w="100.0" w:type="dxa"/>
        <w:right w:w="100.0" w:type="dxa"/>
      </w:tblCellMar>
    </w:tblPr>
  </w:style>
  <w:style w:type="table" w:styleId="Table284">
    <w:basedOn w:val="TableNormal"/>
    <w:tblPr>
      <w:tblStyleRowBandSize w:val="1"/>
      <w:tblStyleColBandSize w:val="1"/>
      <w:tblCellMar>
        <w:top w:w="100.0" w:type="dxa"/>
        <w:left w:w="100.0" w:type="dxa"/>
        <w:bottom w:w="100.0" w:type="dxa"/>
        <w:right w:w="100.0" w:type="dxa"/>
      </w:tblCellMar>
    </w:tblPr>
  </w:style>
  <w:style w:type="table" w:styleId="Table285">
    <w:basedOn w:val="TableNormal"/>
    <w:tblPr>
      <w:tblStyleRowBandSize w:val="1"/>
      <w:tblStyleColBandSize w:val="1"/>
      <w:tblCellMar>
        <w:top w:w="100.0" w:type="dxa"/>
        <w:left w:w="100.0" w:type="dxa"/>
        <w:bottom w:w="100.0" w:type="dxa"/>
        <w:right w:w="100.0" w:type="dxa"/>
      </w:tblCellMar>
    </w:tblPr>
  </w:style>
  <w:style w:type="table" w:styleId="Table286">
    <w:basedOn w:val="TableNormal"/>
    <w:tblPr>
      <w:tblStyleRowBandSize w:val="1"/>
      <w:tblStyleColBandSize w:val="1"/>
      <w:tblCellMar>
        <w:top w:w="100.0" w:type="dxa"/>
        <w:left w:w="100.0" w:type="dxa"/>
        <w:bottom w:w="100.0" w:type="dxa"/>
        <w:right w:w="100.0" w:type="dxa"/>
      </w:tblCellMar>
    </w:tblPr>
  </w:style>
  <w:style w:type="table" w:styleId="Table287">
    <w:basedOn w:val="TableNormal"/>
    <w:tblPr>
      <w:tblStyleRowBandSize w:val="1"/>
      <w:tblStyleColBandSize w:val="1"/>
      <w:tblCellMar>
        <w:top w:w="100.0" w:type="dxa"/>
        <w:left w:w="100.0" w:type="dxa"/>
        <w:bottom w:w="100.0" w:type="dxa"/>
        <w:right w:w="100.0" w:type="dxa"/>
      </w:tblCellMar>
    </w:tblPr>
  </w:style>
  <w:style w:type="table" w:styleId="Table288">
    <w:basedOn w:val="TableNormal"/>
    <w:tblPr>
      <w:tblStyleRowBandSize w:val="1"/>
      <w:tblStyleColBandSize w:val="1"/>
      <w:tblCellMar>
        <w:top w:w="100.0" w:type="dxa"/>
        <w:left w:w="100.0" w:type="dxa"/>
        <w:bottom w:w="100.0" w:type="dxa"/>
        <w:right w:w="100.0" w:type="dxa"/>
      </w:tblCellMar>
    </w:tblPr>
  </w:style>
  <w:style w:type="table" w:styleId="Table289">
    <w:basedOn w:val="TableNormal"/>
    <w:tblPr>
      <w:tblStyleRowBandSize w:val="1"/>
      <w:tblStyleColBandSize w:val="1"/>
      <w:tblCellMar>
        <w:top w:w="100.0" w:type="dxa"/>
        <w:left w:w="100.0" w:type="dxa"/>
        <w:bottom w:w="100.0" w:type="dxa"/>
        <w:right w:w="100.0" w:type="dxa"/>
      </w:tblCellMar>
    </w:tblPr>
  </w:style>
  <w:style w:type="table" w:styleId="Table290">
    <w:basedOn w:val="TableNormal"/>
    <w:tblPr>
      <w:tblStyleRowBandSize w:val="1"/>
      <w:tblStyleColBandSize w:val="1"/>
      <w:tblCellMar>
        <w:top w:w="100.0" w:type="dxa"/>
        <w:left w:w="100.0" w:type="dxa"/>
        <w:bottom w:w="100.0" w:type="dxa"/>
        <w:right w:w="100.0" w:type="dxa"/>
      </w:tblCellMar>
    </w:tblPr>
  </w:style>
  <w:style w:type="table" w:styleId="Table291">
    <w:basedOn w:val="TableNormal"/>
    <w:tblPr>
      <w:tblStyleRowBandSize w:val="1"/>
      <w:tblStyleColBandSize w:val="1"/>
      <w:tblCellMar>
        <w:top w:w="100.0" w:type="dxa"/>
        <w:left w:w="100.0" w:type="dxa"/>
        <w:bottom w:w="100.0" w:type="dxa"/>
        <w:right w:w="100.0" w:type="dxa"/>
      </w:tblCellMar>
    </w:tblPr>
  </w:style>
  <w:style w:type="table" w:styleId="Table292">
    <w:basedOn w:val="TableNormal"/>
    <w:tblPr>
      <w:tblStyleRowBandSize w:val="1"/>
      <w:tblStyleColBandSize w:val="1"/>
      <w:tblCellMar>
        <w:top w:w="100.0" w:type="dxa"/>
        <w:left w:w="100.0" w:type="dxa"/>
        <w:bottom w:w="100.0" w:type="dxa"/>
        <w:right w:w="100.0" w:type="dxa"/>
      </w:tblCellMar>
    </w:tblPr>
  </w:style>
  <w:style w:type="table" w:styleId="Table293">
    <w:basedOn w:val="TableNormal"/>
    <w:tblPr>
      <w:tblStyleRowBandSize w:val="1"/>
      <w:tblStyleColBandSize w:val="1"/>
      <w:tblCellMar>
        <w:top w:w="100.0" w:type="dxa"/>
        <w:left w:w="100.0" w:type="dxa"/>
        <w:bottom w:w="100.0" w:type="dxa"/>
        <w:right w:w="100.0" w:type="dxa"/>
      </w:tblCellMar>
    </w:tblPr>
  </w:style>
  <w:style w:type="table" w:styleId="Table294">
    <w:basedOn w:val="TableNormal"/>
    <w:tblPr>
      <w:tblStyleRowBandSize w:val="1"/>
      <w:tblStyleColBandSize w:val="1"/>
      <w:tblCellMar>
        <w:top w:w="100.0" w:type="dxa"/>
        <w:left w:w="100.0" w:type="dxa"/>
        <w:bottom w:w="100.0" w:type="dxa"/>
        <w:right w:w="100.0" w:type="dxa"/>
      </w:tblCellMar>
    </w:tblPr>
  </w:style>
  <w:style w:type="table" w:styleId="Table295">
    <w:basedOn w:val="TableNormal"/>
    <w:tblPr>
      <w:tblStyleRowBandSize w:val="1"/>
      <w:tblStyleColBandSize w:val="1"/>
      <w:tblCellMar>
        <w:top w:w="100.0" w:type="dxa"/>
        <w:left w:w="100.0" w:type="dxa"/>
        <w:bottom w:w="100.0" w:type="dxa"/>
        <w:right w:w="100.0" w:type="dxa"/>
      </w:tblCellMar>
    </w:tblPr>
  </w:style>
  <w:style w:type="table" w:styleId="Table296">
    <w:basedOn w:val="TableNormal"/>
    <w:tblPr>
      <w:tblStyleRowBandSize w:val="1"/>
      <w:tblStyleColBandSize w:val="1"/>
      <w:tblCellMar>
        <w:top w:w="100.0" w:type="dxa"/>
        <w:left w:w="100.0" w:type="dxa"/>
        <w:bottom w:w="100.0" w:type="dxa"/>
        <w:right w:w="100.0" w:type="dxa"/>
      </w:tblCellMar>
    </w:tblPr>
  </w:style>
  <w:style w:type="table" w:styleId="Table297">
    <w:basedOn w:val="TableNormal"/>
    <w:tblPr>
      <w:tblStyleRowBandSize w:val="1"/>
      <w:tblStyleColBandSize w:val="1"/>
      <w:tblCellMar>
        <w:top w:w="100.0" w:type="dxa"/>
        <w:left w:w="100.0" w:type="dxa"/>
        <w:bottom w:w="100.0" w:type="dxa"/>
        <w:right w:w="100.0" w:type="dxa"/>
      </w:tblCellMar>
    </w:tblPr>
  </w:style>
  <w:style w:type="table" w:styleId="Table298">
    <w:basedOn w:val="TableNormal"/>
    <w:tblPr>
      <w:tblStyleRowBandSize w:val="1"/>
      <w:tblStyleColBandSize w:val="1"/>
      <w:tblCellMar>
        <w:top w:w="100.0" w:type="dxa"/>
        <w:left w:w="100.0" w:type="dxa"/>
        <w:bottom w:w="100.0" w:type="dxa"/>
        <w:right w:w="100.0" w:type="dxa"/>
      </w:tblCellMar>
    </w:tblPr>
  </w:style>
  <w:style w:type="table" w:styleId="Table299">
    <w:basedOn w:val="TableNormal"/>
    <w:tblPr>
      <w:tblStyleRowBandSize w:val="1"/>
      <w:tblStyleColBandSize w:val="1"/>
      <w:tblCellMar>
        <w:top w:w="100.0" w:type="dxa"/>
        <w:left w:w="100.0" w:type="dxa"/>
        <w:bottom w:w="100.0" w:type="dxa"/>
        <w:right w:w="100.0" w:type="dxa"/>
      </w:tblCellMar>
    </w:tblPr>
  </w:style>
  <w:style w:type="table" w:styleId="Table300">
    <w:basedOn w:val="TableNormal"/>
    <w:tblPr>
      <w:tblStyleRowBandSize w:val="1"/>
      <w:tblStyleColBandSize w:val="1"/>
      <w:tblCellMar>
        <w:top w:w="100.0" w:type="dxa"/>
        <w:left w:w="100.0" w:type="dxa"/>
        <w:bottom w:w="100.0" w:type="dxa"/>
        <w:right w:w="100.0" w:type="dxa"/>
      </w:tblCellMar>
    </w:tblPr>
  </w:style>
  <w:style w:type="table" w:styleId="Table301">
    <w:basedOn w:val="TableNormal"/>
    <w:tblPr>
      <w:tblStyleRowBandSize w:val="1"/>
      <w:tblStyleColBandSize w:val="1"/>
      <w:tblCellMar>
        <w:top w:w="100.0" w:type="dxa"/>
        <w:left w:w="100.0" w:type="dxa"/>
        <w:bottom w:w="100.0" w:type="dxa"/>
        <w:right w:w="100.0" w:type="dxa"/>
      </w:tblCellMar>
    </w:tblPr>
  </w:style>
  <w:style w:type="table" w:styleId="Table302">
    <w:basedOn w:val="TableNormal"/>
    <w:tblPr>
      <w:tblStyleRowBandSize w:val="1"/>
      <w:tblStyleColBandSize w:val="1"/>
      <w:tblCellMar>
        <w:top w:w="100.0" w:type="dxa"/>
        <w:left w:w="100.0" w:type="dxa"/>
        <w:bottom w:w="100.0" w:type="dxa"/>
        <w:right w:w="100.0" w:type="dxa"/>
      </w:tblCellMar>
    </w:tblPr>
  </w:style>
  <w:style w:type="table" w:styleId="Table303">
    <w:basedOn w:val="TableNormal"/>
    <w:tblPr>
      <w:tblStyleRowBandSize w:val="1"/>
      <w:tblStyleColBandSize w:val="1"/>
      <w:tblCellMar>
        <w:top w:w="100.0" w:type="dxa"/>
        <w:left w:w="100.0" w:type="dxa"/>
        <w:bottom w:w="100.0" w:type="dxa"/>
        <w:right w:w="100.0" w:type="dxa"/>
      </w:tblCellMar>
    </w:tblPr>
  </w:style>
  <w:style w:type="table" w:styleId="Table304">
    <w:basedOn w:val="TableNormal"/>
    <w:tblPr>
      <w:tblStyleRowBandSize w:val="1"/>
      <w:tblStyleColBandSize w:val="1"/>
      <w:tblCellMar>
        <w:top w:w="100.0" w:type="dxa"/>
        <w:left w:w="100.0" w:type="dxa"/>
        <w:bottom w:w="100.0" w:type="dxa"/>
        <w:right w:w="100.0" w:type="dxa"/>
      </w:tblCellMar>
    </w:tblPr>
  </w:style>
  <w:style w:type="table" w:styleId="Table305">
    <w:basedOn w:val="TableNormal"/>
    <w:tblPr>
      <w:tblStyleRowBandSize w:val="1"/>
      <w:tblStyleColBandSize w:val="1"/>
      <w:tblCellMar>
        <w:top w:w="100.0" w:type="dxa"/>
        <w:left w:w="100.0" w:type="dxa"/>
        <w:bottom w:w="100.0" w:type="dxa"/>
        <w:right w:w="100.0" w:type="dxa"/>
      </w:tblCellMar>
    </w:tblPr>
  </w:style>
  <w:style w:type="table" w:styleId="Table306">
    <w:basedOn w:val="TableNormal"/>
    <w:tblPr>
      <w:tblStyleRowBandSize w:val="1"/>
      <w:tblStyleColBandSize w:val="1"/>
      <w:tblCellMar>
        <w:top w:w="100.0" w:type="dxa"/>
        <w:left w:w="100.0" w:type="dxa"/>
        <w:bottom w:w="100.0" w:type="dxa"/>
        <w:right w:w="100.0" w:type="dxa"/>
      </w:tblCellMar>
    </w:tblPr>
  </w:style>
  <w:style w:type="table" w:styleId="Table307">
    <w:basedOn w:val="TableNormal"/>
    <w:tblPr>
      <w:tblStyleRowBandSize w:val="1"/>
      <w:tblStyleColBandSize w:val="1"/>
      <w:tblCellMar>
        <w:top w:w="100.0" w:type="dxa"/>
        <w:left w:w="100.0" w:type="dxa"/>
        <w:bottom w:w="100.0" w:type="dxa"/>
        <w:right w:w="100.0" w:type="dxa"/>
      </w:tblCellMar>
    </w:tblPr>
  </w:style>
  <w:style w:type="table" w:styleId="Table308">
    <w:basedOn w:val="TableNormal"/>
    <w:tblPr>
      <w:tblStyleRowBandSize w:val="1"/>
      <w:tblStyleColBandSize w:val="1"/>
      <w:tblCellMar>
        <w:top w:w="100.0" w:type="dxa"/>
        <w:left w:w="100.0" w:type="dxa"/>
        <w:bottom w:w="100.0" w:type="dxa"/>
        <w:right w:w="100.0" w:type="dxa"/>
      </w:tblCellMar>
    </w:tblPr>
  </w:style>
  <w:style w:type="table" w:styleId="Table309">
    <w:basedOn w:val="TableNormal"/>
    <w:tblPr>
      <w:tblStyleRowBandSize w:val="1"/>
      <w:tblStyleColBandSize w:val="1"/>
      <w:tblCellMar>
        <w:top w:w="100.0" w:type="dxa"/>
        <w:left w:w="100.0" w:type="dxa"/>
        <w:bottom w:w="100.0" w:type="dxa"/>
        <w:right w:w="100.0" w:type="dxa"/>
      </w:tblCellMar>
    </w:tblPr>
  </w:style>
  <w:style w:type="table" w:styleId="Table310">
    <w:basedOn w:val="TableNormal"/>
    <w:tblPr>
      <w:tblStyleRowBandSize w:val="1"/>
      <w:tblStyleColBandSize w:val="1"/>
      <w:tblCellMar>
        <w:top w:w="100.0" w:type="dxa"/>
        <w:left w:w="100.0" w:type="dxa"/>
        <w:bottom w:w="100.0" w:type="dxa"/>
        <w:right w:w="100.0" w:type="dxa"/>
      </w:tblCellMar>
    </w:tblPr>
  </w:style>
  <w:style w:type="table" w:styleId="Table311">
    <w:basedOn w:val="TableNormal"/>
    <w:tblPr>
      <w:tblStyleRowBandSize w:val="1"/>
      <w:tblStyleColBandSize w:val="1"/>
      <w:tblCellMar>
        <w:top w:w="100.0" w:type="dxa"/>
        <w:left w:w="100.0" w:type="dxa"/>
        <w:bottom w:w="100.0" w:type="dxa"/>
        <w:right w:w="100.0" w:type="dxa"/>
      </w:tblCellMar>
    </w:tblPr>
  </w:style>
  <w:style w:type="table" w:styleId="Table312">
    <w:basedOn w:val="TableNormal"/>
    <w:tblPr>
      <w:tblStyleRowBandSize w:val="1"/>
      <w:tblStyleColBandSize w:val="1"/>
      <w:tblCellMar>
        <w:top w:w="100.0" w:type="dxa"/>
        <w:left w:w="100.0" w:type="dxa"/>
        <w:bottom w:w="100.0" w:type="dxa"/>
        <w:right w:w="100.0" w:type="dxa"/>
      </w:tblCellMar>
    </w:tblPr>
  </w:style>
  <w:style w:type="table" w:styleId="Table313">
    <w:basedOn w:val="TableNormal"/>
    <w:tblPr>
      <w:tblStyleRowBandSize w:val="1"/>
      <w:tblStyleColBandSize w:val="1"/>
      <w:tblCellMar>
        <w:top w:w="100.0" w:type="dxa"/>
        <w:left w:w="100.0" w:type="dxa"/>
        <w:bottom w:w="100.0" w:type="dxa"/>
        <w:right w:w="100.0" w:type="dxa"/>
      </w:tblCellMar>
    </w:tblPr>
  </w:style>
  <w:style w:type="table" w:styleId="Table314">
    <w:basedOn w:val="TableNormal"/>
    <w:tblPr>
      <w:tblStyleRowBandSize w:val="1"/>
      <w:tblStyleColBandSize w:val="1"/>
      <w:tblCellMar>
        <w:top w:w="100.0" w:type="dxa"/>
        <w:left w:w="100.0" w:type="dxa"/>
        <w:bottom w:w="100.0" w:type="dxa"/>
        <w:right w:w="100.0" w:type="dxa"/>
      </w:tblCellMar>
    </w:tblPr>
  </w:style>
  <w:style w:type="table" w:styleId="Table315">
    <w:basedOn w:val="TableNormal"/>
    <w:tblPr>
      <w:tblStyleRowBandSize w:val="1"/>
      <w:tblStyleColBandSize w:val="1"/>
      <w:tblCellMar>
        <w:top w:w="100.0" w:type="dxa"/>
        <w:left w:w="100.0" w:type="dxa"/>
        <w:bottom w:w="100.0" w:type="dxa"/>
        <w:right w:w="100.0" w:type="dxa"/>
      </w:tblCellMar>
    </w:tblPr>
  </w:style>
  <w:style w:type="table" w:styleId="Table316">
    <w:basedOn w:val="TableNormal"/>
    <w:tblPr>
      <w:tblStyleRowBandSize w:val="1"/>
      <w:tblStyleColBandSize w:val="1"/>
      <w:tblCellMar>
        <w:top w:w="100.0" w:type="dxa"/>
        <w:left w:w="100.0" w:type="dxa"/>
        <w:bottom w:w="100.0" w:type="dxa"/>
        <w:right w:w="100.0" w:type="dxa"/>
      </w:tblCellMar>
    </w:tblPr>
  </w:style>
  <w:style w:type="table" w:styleId="Table317">
    <w:basedOn w:val="TableNormal"/>
    <w:tblPr>
      <w:tblStyleRowBandSize w:val="1"/>
      <w:tblStyleColBandSize w:val="1"/>
      <w:tblCellMar>
        <w:top w:w="100.0" w:type="dxa"/>
        <w:left w:w="100.0" w:type="dxa"/>
        <w:bottom w:w="100.0" w:type="dxa"/>
        <w:right w:w="100.0" w:type="dxa"/>
      </w:tblCellMar>
    </w:tblPr>
  </w:style>
  <w:style w:type="table" w:styleId="Table318">
    <w:basedOn w:val="TableNormal"/>
    <w:tblPr>
      <w:tblStyleRowBandSize w:val="1"/>
      <w:tblStyleColBandSize w:val="1"/>
      <w:tblCellMar>
        <w:top w:w="100.0" w:type="dxa"/>
        <w:left w:w="100.0" w:type="dxa"/>
        <w:bottom w:w="100.0" w:type="dxa"/>
        <w:right w:w="100.0" w:type="dxa"/>
      </w:tblCellMar>
    </w:tblPr>
  </w:style>
  <w:style w:type="table" w:styleId="Table319">
    <w:basedOn w:val="TableNormal"/>
    <w:tblPr>
      <w:tblStyleRowBandSize w:val="1"/>
      <w:tblStyleColBandSize w:val="1"/>
      <w:tblCellMar>
        <w:top w:w="100.0" w:type="dxa"/>
        <w:left w:w="100.0" w:type="dxa"/>
        <w:bottom w:w="100.0" w:type="dxa"/>
        <w:right w:w="100.0" w:type="dxa"/>
      </w:tblCellMar>
    </w:tblPr>
  </w:style>
  <w:style w:type="table" w:styleId="Table320">
    <w:basedOn w:val="TableNormal"/>
    <w:tblPr>
      <w:tblStyleRowBandSize w:val="1"/>
      <w:tblStyleColBandSize w:val="1"/>
      <w:tblCellMar>
        <w:top w:w="100.0" w:type="dxa"/>
        <w:left w:w="100.0" w:type="dxa"/>
        <w:bottom w:w="100.0" w:type="dxa"/>
        <w:right w:w="100.0" w:type="dxa"/>
      </w:tblCellMar>
    </w:tblPr>
  </w:style>
  <w:style w:type="table" w:styleId="Table321">
    <w:basedOn w:val="TableNormal"/>
    <w:tblPr>
      <w:tblStyleRowBandSize w:val="1"/>
      <w:tblStyleColBandSize w:val="1"/>
      <w:tblCellMar>
        <w:top w:w="100.0" w:type="dxa"/>
        <w:left w:w="100.0" w:type="dxa"/>
        <w:bottom w:w="100.0" w:type="dxa"/>
        <w:right w:w="100.0" w:type="dxa"/>
      </w:tblCellMar>
    </w:tblPr>
  </w:style>
  <w:style w:type="table" w:styleId="Table322">
    <w:basedOn w:val="TableNormal"/>
    <w:tblPr>
      <w:tblStyleRowBandSize w:val="1"/>
      <w:tblStyleColBandSize w:val="1"/>
      <w:tblCellMar>
        <w:top w:w="100.0" w:type="dxa"/>
        <w:left w:w="100.0" w:type="dxa"/>
        <w:bottom w:w="100.0" w:type="dxa"/>
        <w:right w:w="100.0" w:type="dxa"/>
      </w:tblCellMar>
    </w:tblPr>
  </w:style>
  <w:style w:type="table" w:styleId="Table323">
    <w:basedOn w:val="TableNormal"/>
    <w:tblPr>
      <w:tblStyleRowBandSize w:val="1"/>
      <w:tblStyleColBandSize w:val="1"/>
      <w:tblCellMar>
        <w:top w:w="100.0" w:type="dxa"/>
        <w:left w:w="100.0" w:type="dxa"/>
        <w:bottom w:w="100.0" w:type="dxa"/>
        <w:right w:w="100.0" w:type="dxa"/>
      </w:tblCellMar>
    </w:tblPr>
  </w:style>
  <w:style w:type="table" w:styleId="Table324">
    <w:basedOn w:val="TableNormal"/>
    <w:tblPr>
      <w:tblStyleRowBandSize w:val="1"/>
      <w:tblStyleColBandSize w:val="1"/>
      <w:tblCellMar>
        <w:top w:w="100.0" w:type="dxa"/>
        <w:left w:w="100.0" w:type="dxa"/>
        <w:bottom w:w="100.0" w:type="dxa"/>
        <w:right w:w="100.0" w:type="dxa"/>
      </w:tblCellMar>
    </w:tblPr>
  </w:style>
  <w:style w:type="table" w:styleId="Table325">
    <w:basedOn w:val="TableNormal"/>
    <w:tblPr>
      <w:tblStyleRowBandSize w:val="1"/>
      <w:tblStyleColBandSize w:val="1"/>
      <w:tblCellMar>
        <w:top w:w="100.0" w:type="dxa"/>
        <w:left w:w="100.0" w:type="dxa"/>
        <w:bottom w:w="100.0" w:type="dxa"/>
        <w:right w:w="100.0" w:type="dxa"/>
      </w:tblCellMar>
    </w:tblPr>
  </w:style>
  <w:style w:type="table" w:styleId="Table326">
    <w:basedOn w:val="TableNormal"/>
    <w:tblPr>
      <w:tblStyleRowBandSize w:val="1"/>
      <w:tblStyleColBandSize w:val="1"/>
      <w:tblCellMar>
        <w:top w:w="100.0" w:type="dxa"/>
        <w:left w:w="100.0" w:type="dxa"/>
        <w:bottom w:w="100.0" w:type="dxa"/>
        <w:right w:w="100.0" w:type="dxa"/>
      </w:tblCellMar>
    </w:tblPr>
  </w:style>
  <w:style w:type="table" w:styleId="Table327">
    <w:basedOn w:val="TableNormal"/>
    <w:tblPr>
      <w:tblStyleRowBandSize w:val="1"/>
      <w:tblStyleColBandSize w:val="1"/>
      <w:tblCellMar>
        <w:top w:w="100.0" w:type="dxa"/>
        <w:left w:w="100.0" w:type="dxa"/>
        <w:bottom w:w="100.0" w:type="dxa"/>
        <w:right w:w="100.0" w:type="dxa"/>
      </w:tblCellMar>
    </w:tblPr>
  </w:style>
  <w:style w:type="table" w:styleId="Table328">
    <w:basedOn w:val="TableNormal"/>
    <w:tblPr>
      <w:tblStyleRowBandSize w:val="1"/>
      <w:tblStyleColBandSize w:val="1"/>
      <w:tblCellMar>
        <w:top w:w="100.0" w:type="dxa"/>
        <w:left w:w="100.0" w:type="dxa"/>
        <w:bottom w:w="100.0" w:type="dxa"/>
        <w:right w:w="100.0" w:type="dxa"/>
      </w:tblCellMar>
    </w:tblPr>
  </w:style>
  <w:style w:type="table" w:styleId="Table329">
    <w:basedOn w:val="TableNormal"/>
    <w:tblPr>
      <w:tblStyleRowBandSize w:val="1"/>
      <w:tblStyleColBandSize w:val="1"/>
      <w:tblCellMar>
        <w:top w:w="100.0" w:type="dxa"/>
        <w:left w:w="100.0" w:type="dxa"/>
        <w:bottom w:w="100.0" w:type="dxa"/>
        <w:right w:w="100.0" w:type="dxa"/>
      </w:tblCellMar>
    </w:tblPr>
  </w:style>
  <w:style w:type="table" w:styleId="Table330">
    <w:basedOn w:val="TableNormal"/>
    <w:tblPr>
      <w:tblStyleRowBandSize w:val="1"/>
      <w:tblStyleColBandSize w:val="1"/>
      <w:tblCellMar>
        <w:top w:w="100.0" w:type="dxa"/>
        <w:left w:w="100.0" w:type="dxa"/>
        <w:bottom w:w="100.0" w:type="dxa"/>
        <w:right w:w="100.0" w:type="dxa"/>
      </w:tblCellMar>
    </w:tblPr>
  </w:style>
  <w:style w:type="table" w:styleId="Table331">
    <w:basedOn w:val="TableNormal"/>
    <w:tblPr>
      <w:tblStyleRowBandSize w:val="1"/>
      <w:tblStyleColBandSize w:val="1"/>
      <w:tblCellMar>
        <w:top w:w="100.0" w:type="dxa"/>
        <w:left w:w="100.0" w:type="dxa"/>
        <w:bottom w:w="100.0" w:type="dxa"/>
        <w:right w:w="100.0" w:type="dxa"/>
      </w:tblCellMar>
    </w:tblPr>
  </w:style>
  <w:style w:type="table" w:styleId="Table332">
    <w:basedOn w:val="TableNormal"/>
    <w:tblPr>
      <w:tblStyleRowBandSize w:val="1"/>
      <w:tblStyleColBandSize w:val="1"/>
      <w:tblCellMar>
        <w:top w:w="100.0" w:type="dxa"/>
        <w:left w:w="100.0" w:type="dxa"/>
        <w:bottom w:w="100.0" w:type="dxa"/>
        <w:right w:w="100.0" w:type="dxa"/>
      </w:tblCellMar>
    </w:tblPr>
  </w:style>
  <w:style w:type="table" w:styleId="Table333">
    <w:basedOn w:val="TableNormal"/>
    <w:tblPr>
      <w:tblStyleRowBandSize w:val="1"/>
      <w:tblStyleColBandSize w:val="1"/>
      <w:tblCellMar>
        <w:top w:w="100.0" w:type="dxa"/>
        <w:left w:w="100.0" w:type="dxa"/>
        <w:bottom w:w="100.0" w:type="dxa"/>
        <w:right w:w="100.0" w:type="dxa"/>
      </w:tblCellMar>
    </w:tblPr>
  </w:style>
  <w:style w:type="table" w:styleId="Table334">
    <w:basedOn w:val="TableNormal"/>
    <w:tblPr>
      <w:tblStyleRowBandSize w:val="1"/>
      <w:tblStyleColBandSize w:val="1"/>
      <w:tblCellMar>
        <w:top w:w="100.0" w:type="dxa"/>
        <w:left w:w="100.0" w:type="dxa"/>
        <w:bottom w:w="100.0" w:type="dxa"/>
        <w:right w:w="100.0" w:type="dxa"/>
      </w:tblCellMar>
    </w:tblPr>
  </w:style>
  <w:style w:type="table" w:styleId="Table335">
    <w:basedOn w:val="TableNormal"/>
    <w:tblPr>
      <w:tblStyleRowBandSize w:val="1"/>
      <w:tblStyleColBandSize w:val="1"/>
      <w:tblCellMar>
        <w:top w:w="100.0" w:type="dxa"/>
        <w:left w:w="100.0" w:type="dxa"/>
        <w:bottom w:w="100.0" w:type="dxa"/>
        <w:right w:w="100.0" w:type="dxa"/>
      </w:tblCellMar>
    </w:tblPr>
  </w:style>
  <w:style w:type="table" w:styleId="Table336">
    <w:basedOn w:val="TableNormal"/>
    <w:tblPr>
      <w:tblStyleRowBandSize w:val="1"/>
      <w:tblStyleColBandSize w:val="1"/>
      <w:tblCellMar>
        <w:top w:w="100.0" w:type="dxa"/>
        <w:left w:w="100.0" w:type="dxa"/>
        <w:bottom w:w="100.0" w:type="dxa"/>
        <w:right w:w="100.0" w:type="dxa"/>
      </w:tblCellMar>
    </w:tblPr>
  </w:style>
  <w:style w:type="table" w:styleId="Table337">
    <w:basedOn w:val="TableNormal"/>
    <w:tblPr>
      <w:tblStyleRowBandSize w:val="1"/>
      <w:tblStyleColBandSize w:val="1"/>
      <w:tblCellMar>
        <w:top w:w="100.0" w:type="dxa"/>
        <w:left w:w="100.0" w:type="dxa"/>
        <w:bottom w:w="100.0" w:type="dxa"/>
        <w:right w:w="100.0" w:type="dxa"/>
      </w:tblCellMar>
    </w:tblPr>
  </w:style>
  <w:style w:type="table" w:styleId="Table338">
    <w:basedOn w:val="TableNormal"/>
    <w:tblPr>
      <w:tblStyleRowBandSize w:val="1"/>
      <w:tblStyleColBandSize w:val="1"/>
      <w:tblCellMar>
        <w:top w:w="100.0" w:type="dxa"/>
        <w:left w:w="100.0" w:type="dxa"/>
        <w:bottom w:w="100.0" w:type="dxa"/>
        <w:right w:w="100.0" w:type="dxa"/>
      </w:tblCellMar>
    </w:tblPr>
  </w:style>
  <w:style w:type="table" w:styleId="Table339">
    <w:basedOn w:val="TableNormal"/>
    <w:tblPr>
      <w:tblStyleRowBandSize w:val="1"/>
      <w:tblStyleColBandSize w:val="1"/>
      <w:tblCellMar>
        <w:top w:w="100.0" w:type="dxa"/>
        <w:left w:w="100.0" w:type="dxa"/>
        <w:bottom w:w="100.0" w:type="dxa"/>
        <w:right w:w="100.0" w:type="dxa"/>
      </w:tblCellMar>
    </w:tblPr>
  </w:style>
  <w:style w:type="table" w:styleId="Table340">
    <w:basedOn w:val="TableNormal"/>
    <w:tblPr>
      <w:tblStyleRowBandSize w:val="1"/>
      <w:tblStyleColBandSize w:val="1"/>
      <w:tblCellMar>
        <w:top w:w="100.0" w:type="dxa"/>
        <w:left w:w="100.0" w:type="dxa"/>
        <w:bottom w:w="100.0" w:type="dxa"/>
        <w:right w:w="100.0" w:type="dxa"/>
      </w:tblCellMar>
    </w:tblPr>
  </w:style>
  <w:style w:type="table" w:styleId="Table341">
    <w:basedOn w:val="TableNormal"/>
    <w:tblPr>
      <w:tblStyleRowBandSize w:val="1"/>
      <w:tblStyleColBandSize w:val="1"/>
      <w:tblCellMar>
        <w:top w:w="100.0" w:type="dxa"/>
        <w:left w:w="100.0" w:type="dxa"/>
        <w:bottom w:w="100.0" w:type="dxa"/>
        <w:right w:w="100.0" w:type="dxa"/>
      </w:tblCellMar>
    </w:tblPr>
  </w:style>
  <w:style w:type="table" w:styleId="Table342">
    <w:basedOn w:val="TableNormal"/>
    <w:tblPr>
      <w:tblStyleRowBandSize w:val="1"/>
      <w:tblStyleColBandSize w:val="1"/>
      <w:tblCellMar>
        <w:top w:w="100.0" w:type="dxa"/>
        <w:left w:w="100.0" w:type="dxa"/>
        <w:bottom w:w="100.0" w:type="dxa"/>
        <w:right w:w="100.0" w:type="dxa"/>
      </w:tblCellMar>
    </w:tblPr>
  </w:style>
  <w:style w:type="table" w:styleId="Table343">
    <w:basedOn w:val="TableNormal"/>
    <w:tblPr>
      <w:tblStyleRowBandSize w:val="1"/>
      <w:tblStyleColBandSize w:val="1"/>
      <w:tblCellMar>
        <w:top w:w="100.0" w:type="dxa"/>
        <w:left w:w="100.0" w:type="dxa"/>
        <w:bottom w:w="100.0" w:type="dxa"/>
        <w:right w:w="100.0" w:type="dxa"/>
      </w:tblCellMar>
    </w:tblPr>
  </w:style>
  <w:style w:type="table" w:styleId="Table344">
    <w:basedOn w:val="TableNormal"/>
    <w:tblPr>
      <w:tblStyleRowBandSize w:val="1"/>
      <w:tblStyleColBandSize w:val="1"/>
      <w:tblCellMar>
        <w:top w:w="100.0" w:type="dxa"/>
        <w:left w:w="100.0" w:type="dxa"/>
        <w:bottom w:w="100.0" w:type="dxa"/>
        <w:right w:w="100.0" w:type="dxa"/>
      </w:tblCellMar>
    </w:tblPr>
  </w:style>
  <w:style w:type="table" w:styleId="Table345">
    <w:basedOn w:val="TableNormal"/>
    <w:tblPr>
      <w:tblStyleRowBandSize w:val="1"/>
      <w:tblStyleColBandSize w:val="1"/>
      <w:tblCellMar>
        <w:top w:w="100.0" w:type="dxa"/>
        <w:left w:w="100.0" w:type="dxa"/>
        <w:bottom w:w="100.0" w:type="dxa"/>
        <w:right w:w="100.0" w:type="dxa"/>
      </w:tblCellMar>
    </w:tblPr>
  </w:style>
  <w:style w:type="table" w:styleId="Table346">
    <w:basedOn w:val="TableNormal"/>
    <w:tblPr>
      <w:tblStyleRowBandSize w:val="1"/>
      <w:tblStyleColBandSize w:val="1"/>
      <w:tblCellMar>
        <w:top w:w="100.0" w:type="dxa"/>
        <w:left w:w="100.0" w:type="dxa"/>
        <w:bottom w:w="100.0" w:type="dxa"/>
        <w:right w:w="100.0" w:type="dxa"/>
      </w:tblCellMar>
    </w:tblPr>
  </w:style>
  <w:style w:type="table" w:styleId="Table347">
    <w:basedOn w:val="TableNormal"/>
    <w:tblPr>
      <w:tblStyleRowBandSize w:val="1"/>
      <w:tblStyleColBandSize w:val="1"/>
      <w:tblCellMar>
        <w:top w:w="100.0" w:type="dxa"/>
        <w:left w:w="100.0" w:type="dxa"/>
        <w:bottom w:w="100.0" w:type="dxa"/>
        <w:right w:w="100.0" w:type="dxa"/>
      </w:tblCellMar>
    </w:tblPr>
  </w:style>
  <w:style w:type="table" w:styleId="Table348">
    <w:basedOn w:val="TableNormal"/>
    <w:tblPr>
      <w:tblStyleRowBandSize w:val="1"/>
      <w:tblStyleColBandSize w:val="1"/>
      <w:tblCellMar>
        <w:top w:w="100.0" w:type="dxa"/>
        <w:left w:w="100.0" w:type="dxa"/>
        <w:bottom w:w="100.0" w:type="dxa"/>
        <w:right w:w="100.0" w:type="dxa"/>
      </w:tblCellMar>
    </w:tblPr>
  </w:style>
  <w:style w:type="table" w:styleId="Table349">
    <w:basedOn w:val="TableNormal"/>
    <w:tblPr>
      <w:tblStyleRowBandSize w:val="1"/>
      <w:tblStyleColBandSize w:val="1"/>
      <w:tblCellMar>
        <w:top w:w="100.0" w:type="dxa"/>
        <w:left w:w="100.0" w:type="dxa"/>
        <w:bottom w:w="100.0" w:type="dxa"/>
        <w:right w:w="100.0" w:type="dxa"/>
      </w:tblCellMar>
    </w:tblPr>
  </w:style>
  <w:style w:type="table" w:styleId="Table350">
    <w:basedOn w:val="TableNormal"/>
    <w:tblPr>
      <w:tblStyleRowBandSize w:val="1"/>
      <w:tblStyleColBandSize w:val="1"/>
      <w:tblCellMar>
        <w:top w:w="100.0" w:type="dxa"/>
        <w:left w:w="100.0" w:type="dxa"/>
        <w:bottom w:w="100.0" w:type="dxa"/>
        <w:right w:w="100.0" w:type="dxa"/>
      </w:tblCellMar>
    </w:tblPr>
  </w:style>
  <w:style w:type="table" w:styleId="Table351">
    <w:basedOn w:val="TableNormal"/>
    <w:tblPr>
      <w:tblStyleRowBandSize w:val="1"/>
      <w:tblStyleColBandSize w:val="1"/>
      <w:tblCellMar>
        <w:top w:w="100.0" w:type="dxa"/>
        <w:left w:w="100.0" w:type="dxa"/>
        <w:bottom w:w="100.0" w:type="dxa"/>
        <w:right w:w="100.0" w:type="dxa"/>
      </w:tblCellMar>
    </w:tblPr>
  </w:style>
  <w:style w:type="table" w:styleId="Table352">
    <w:basedOn w:val="TableNormal"/>
    <w:tblPr>
      <w:tblStyleRowBandSize w:val="1"/>
      <w:tblStyleColBandSize w:val="1"/>
      <w:tblCellMar>
        <w:top w:w="100.0" w:type="dxa"/>
        <w:left w:w="100.0" w:type="dxa"/>
        <w:bottom w:w="100.0" w:type="dxa"/>
        <w:right w:w="100.0" w:type="dxa"/>
      </w:tblCellMar>
    </w:tblPr>
  </w:style>
  <w:style w:type="table" w:styleId="Table353">
    <w:basedOn w:val="TableNormal"/>
    <w:tblPr>
      <w:tblStyleRowBandSize w:val="1"/>
      <w:tblStyleColBandSize w:val="1"/>
      <w:tblCellMar>
        <w:top w:w="100.0" w:type="dxa"/>
        <w:left w:w="100.0" w:type="dxa"/>
        <w:bottom w:w="100.0" w:type="dxa"/>
        <w:right w:w="100.0" w:type="dxa"/>
      </w:tblCellMar>
    </w:tblPr>
  </w:style>
  <w:style w:type="table" w:styleId="Table354">
    <w:basedOn w:val="TableNormal"/>
    <w:tblPr>
      <w:tblStyleRowBandSize w:val="1"/>
      <w:tblStyleColBandSize w:val="1"/>
      <w:tblCellMar>
        <w:top w:w="100.0" w:type="dxa"/>
        <w:left w:w="100.0" w:type="dxa"/>
        <w:bottom w:w="100.0" w:type="dxa"/>
        <w:right w:w="100.0" w:type="dxa"/>
      </w:tblCellMar>
    </w:tblPr>
  </w:style>
  <w:style w:type="table" w:styleId="Table355">
    <w:basedOn w:val="TableNormal"/>
    <w:tblPr>
      <w:tblStyleRowBandSize w:val="1"/>
      <w:tblStyleColBandSize w:val="1"/>
      <w:tblCellMar>
        <w:top w:w="100.0" w:type="dxa"/>
        <w:left w:w="100.0" w:type="dxa"/>
        <w:bottom w:w="100.0" w:type="dxa"/>
        <w:right w:w="100.0" w:type="dxa"/>
      </w:tblCellMar>
    </w:tblPr>
  </w:style>
  <w:style w:type="table" w:styleId="Table356">
    <w:basedOn w:val="TableNormal"/>
    <w:tblPr>
      <w:tblStyleRowBandSize w:val="1"/>
      <w:tblStyleColBandSize w:val="1"/>
      <w:tblCellMar>
        <w:top w:w="100.0" w:type="dxa"/>
        <w:left w:w="100.0" w:type="dxa"/>
        <w:bottom w:w="100.0" w:type="dxa"/>
        <w:right w:w="100.0" w:type="dxa"/>
      </w:tblCellMar>
    </w:tblPr>
  </w:style>
  <w:style w:type="table" w:styleId="Table357">
    <w:basedOn w:val="TableNormal"/>
    <w:tblPr>
      <w:tblStyleRowBandSize w:val="1"/>
      <w:tblStyleColBandSize w:val="1"/>
      <w:tblCellMar>
        <w:top w:w="100.0" w:type="dxa"/>
        <w:left w:w="100.0" w:type="dxa"/>
        <w:bottom w:w="100.0" w:type="dxa"/>
        <w:right w:w="100.0" w:type="dxa"/>
      </w:tblCellMar>
    </w:tblPr>
  </w:style>
  <w:style w:type="table" w:styleId="Table358">
    <w:basedOn w:val="TableNormal"/>
    <w:tblPr>
      <w:tblStyleRowBandSize w:val="1"/>
      <w:tblStyleColBandSize w:val="1"/>
      <w:tblCellMar>
        <w:top w:w="100.0" w:type="dxa"/>
        <w:left w:w="100.0" w:type="dxa"/>
        <w:bottom w:w="100.0" w:type="dxa"/>
        <w:right w:w="100.0" w:type="dxa"/>
      </w:tblCellMar>
    </w:tblPr>
  </w:style>
  <w:style w:type="table" w:styleId="Table359">
    <w:basedOn w:val="TableNormal"/>
    <w:tblPr>
      <w:tblStyleRowBandSize w:val="1"/>
      <w:tblStyleColBandSize w:val="1"/>
      <w:tblCellMar>
        <w:top w:w="100.0" w:type="dxa"/>
        <w:left w:w="100.0" w:type="dxa"/>
        <w:bottom w:w="100.0" w:type="dxa"/>
        <w:right w:w="100.0" w:type="dxa"/>
      </w:tblCellMar>
    </w:tblPr>
  </w:style>
  <w:style w:type="table" w:styleId="Table360">
    <w:basedOn w:val="TableNormal"/>
    <w:tblPr>
      <w:tblStyleRowBandSize w:val="1"/>
      <w:tblStyleColBandSize w:val="1"/>
      <w:tblCellMar>
        <w:top w:w="100.0" w:type="dxa"/>
        <w:left w:w="100.0" w:type="dxa"/>
        <w:bottom w:w="100.0" w:type="dxa"/>
        <w:right w:w="100.0" w:type="dxa"/>
      </w:tblCellMar>
    </w:tblPr>
  </w:style>
  <w:style w:type="table" w:styleId="Table361">
    <w:basedOn w:val="TableNormal"/>
    <w:tblPr>
      <w:tblStyleRowBandSize w:val="1"/>
      <w:tblStyleColBandSize w:val="1"/>
      <w:tblCellMar>
        <w:top w:w="100.0" w:type="dxa"/>
        <w:left w:w="100.0" w:type="dxa"/>
        <w:bottom w:w="100.0" w:type="dxa"/>
        <w:right w:w="100.0" w:type="dxa"/>
      </w:tblCellMar>
    </w:tblPr>
  </w:style>
  <w:style w:type="table" w:styleId="Table362">
    <w:basedOn w:val="TableNormal"/>
    <w:tblPr>
      <w:tblStyleRowBandSize w:val="1"/>
      <w:tblStyleColBandSize w:val="1"/>
      <w:tblCellMar>
        <w:top w:w="100.0" w:type="dxa"/>
        <w:left w:w="100.0" w:type="dxa"/>
        <w:bottom w:w="100.0" w:type="dxa"/>
        <w:right w:w="100.0" w:type="dxa"/>
      </w:tblCellMar>
    </w:tblPr>
  </w:style>
  <w:style w:type="table" w:styleId="Table363">
    <w:basedOn w:val="TableNormal"/>
    <w:tblPr>
      <w:tblStyleRowBandSize w:val="1"/>
      <w:tblStyleColBandSize w:val="1"/>
      <w:tblCellMar>
        <w:top w:w="100.0" w:type="dxa"/>
        <w:left w:w="100.0" w:type="dxa"/>
        <w:bottom w:w="100.0" w:type="dxa"/>
        <w:right w:w="100.0" w:type="dxa"/>
      </w:tblCellMar>
    </w:tblPr>
  </w:style>
  <w:style w:type="table" w:styleId="Table364">
    <w:basedOn w:val="TableNormal"/>
    <w:tblPr>
      <w:tblStyleRowBandSize w:val="1"/>
      <w:tblStyleColBandSize w:val="1"/>
      <w:tblCellMar>
        <w:top w:w="100.0" w:type="dxa"/>
        <w:left w:w="100.0" w:type="dxa"/>
        <w:bottom w:w="100.0" w:type="dxa"/>
        <w:right w:w="100.0" w:type="dxa"/>
      </w:tblCellMar>
    </w:tblPr>
  </w:style>
  <w:style w:type="table" w:styleId="Table365">
    <w:basedOn w:val="TableNormal"/>
    <w:tblPr>
      <w:tblStyleRowBandSize w:val="1"/>
      <w:tblStyleColBandSize w:val="1"/>
      <w:tblCellMar>
        <w:top w:w="100.0" w:type="dxa"/>
        <w:left w:w="100.0" w:type="dxa"/>
        <w:bottom w:w="100.0" w:type="dxa"/>
        <w:right w:w="100.0" w:type="dxa"/>
      </w:tblCellMar>
    </w:tblPr>
  </w:style>
  <w:style w:type="table" w:styleId="Table366">
    <w:basedOn w:val="TableNormal"/>
    <w:tblPr>
      <w:tblStyleRowBandSize w:val="1"/>
      <w:tblStyleColBandSize w:val="1"/>
      <w:tblCellMar>
        <w:top w:w="100.0" w:type="dxa"/>
        <w:left w:w="100.0" w:type="dxa"/>
        <w:bottom w:w="100.0" w:type="dxa"/>
        <w:right w:w="100.0" w:type="dxa"/>
      </w:tblCellMar>
    </w:tblPr>
  </w:style>
  <w:style w:type="table" w:styleId="Table367">
    <w:basedOn w:val="TableNormal"/>
    <w:tblPr>
      <w:tblStyleRowBandSize w:val="1"/>
      <w:tblStyleColBandSize w:val="1"/>
      <w:tblCellMar>
        <w:top w:w="100.0" w:type="dxa"/>
        <w:left w:w="100.0" w:type="dxa"/>
        <w:bottom w:w="100.0" w:type="dxa"/>
        <w:right w:w="100.0" w:type="dxa"/>
      </w:tblCellMar>
    </w:tblPr>
  </w:style>
  <w:style w:type="table" w:styleId="Table368">
    <w:basedOn w:val="TableNormal"/>
    <w:tblPr>
      <w:tblStyleRowBandSize w:val="1"/>
      <w:tblStyleColBandSize w:val="1"/>
      <w:tblCellMar>
        <w:top w:w="100.0" w:type="dxa"/>
        <w:left w:w="100.0" w:type="dxa"/>
        <w:bottom w:w="100.0" w:type="dxa"/>
        <w:right w:w="100.0" w:type="dxa"/>
      </w:tblCellMar>
    </w:tblPr>
  </w:style>
  <w:style w:type="table" w:styleId="Table369">
    <w:basedOn w:val="TableNormal"/>
    <w:tblPr>
      <w:tblStyleRowBandSize w:val="1"/>
      <w:tblStyleColBandSize w:val="1"/>
      <w:tblCellMar>
        <w:top w:w="100.0" w:type="dxa"/>
        <w:left w:w="100.0" w:type="dxa"/>
        <w:bottom w:w="100.0" w:type="dxa"/>
        <w:right w:w="100.0" w:type="dxa"/>
      </w:tblCellMar>
    </w:tblPr>
  </w:style>
  <w:style w:type="table" w:styleId="Table370">
    <w:basedOn w:val="TableNormal"/>
    <w:tblPr>
      <w:tblStyleRowBandSize w:val="1"/>
      <w:tblStyleColBandSize w:val="1"/>
      <w:tblCellMar>
        <w:top w:w="100.0" w:type="dxa"/>
        <w:left w:w="100.0" w:type="dxa"/>
        <w:bottom w:w="100.0" w:type="dxa"/>
        <w:right w:w="100.0" w:type="dxa"/>
      </w:tblCellMar>
    </w:tblPr>
  </w:style>
  <w:style w:type="table" w:styleId="Table371">
    <w:basedOn w:val="TableNormal"/>
    <w:tblPr>
      <w:tblStyleRowBandSize w:val="1"/>
      <w:tblStyleColBandSize w:val="1"/>
      <w:tblCellMar>
        <w:top w:w="100.0" w:type="dxa"/>
        <w:left w:w="100.0" w:type="dxa"/>
        <w:bottom w:w="100.0" w:type="dxa"/>
        <w:right w:w="100.0" w:type="dxa"/>
      </w:tblCellMar>
    </w:tblPr>
  </w:style>
  <w:style w:type="table" w:styleId="Table372">
    <w:basedOn w:val="TableNormal"/>
    <w:tblPr>
      <w:tblStyleRowBandSize w:val="1"/>
      <w:tblStyleColBandSize w:val="1"/>
      <w:tblCellMar>
        <w:top w:w="100.0" w:type="dxa"/>
        <w:left w:w="100.0" w:type="dxa"/>
        <w:bottom w:w="100.0" w:type="dxa"/>
        <w:right w:w="100.0" w:type="dxa"/>
      </w:tblCellMar>
    </w:tblPr>
  </w:style>
  <w:style w:type="table" w:styleId="Table373">
    <w:basedOn w:val="TableNormal"/>
    <w:tblPr>
      <w:tblStyleRowBandSize w:val="1"/>
      <w:tblStyleColBandSize w:val="1"/>
      <w:tblCellMar>
        <w:top w:w="100.0" w:type="dxa"/>
        <w:left w:w="100.0" w:type="dxa"/>
        <w:bottom w:w="100.0" w:type="dxa"/>
        <w:right w:w="100.0" w:type="dxa"/>
      </w:tblCellMar>
    </w:tblPr>
  </w:style>
  <w:style w:type="table" w:styleId="Table374">
    <w:basedOn w:val="TableNormal"/>
    <w:tblPr>
      <w:tblStyleRowBandSize w:val="1"/>
      <w:tblStyleColBandSize w:val="1"/>
      <w:tblCellMar>
        <w:top w:w="100.0" w:type="dxa"/>
        <w:left w:w="100.0" w:type="dxa"/>
        <w:bottom w:w="100.0" w:type="dxa"/>
        <w:right w:w="100.0" w:type="dxa"/>
      </w:tblCellMar>
    </w:tblPr>
  </w:style>
  <w:style w:type="table" w:styleId="Table375">
    <w:basedOn w:val="TableNormal"/>
    <w:tblPr>
      <w:tblStyleRowBandSize w:val="1"/>
      <w:tblStyleColBandSize w:val="1"/>
      <w:tblCellMar>
        <w:top w:w="100.0" w:type="dxa"/>
        <w:left w:w="100.0" w:type="dxa"/>
        <w:bottom w:w="100.0" w:type="dxa"/>
        <w:right w:w="100.0" w:type="dxa"/>
      </w:tblCellMar>
    </w:tblPr>
  </w:style>
  <w:style w:type="table" w:styleId="Table376">
    <w:basedOn w:val="TableNormal"/>
    <w:tblPr>
      <w:tblStyleRowBandSize w:val="1"/>
      <w:tblStyleColBandSize w:val="1"/>
      <w:tblCellMar>
        <w:top w:w="100.0" w:type="dxa"/>
        <w:left w:w="100.0" w:type="dxa"/>
        <w:bottom w:w="100.0" w:type="dxa"/>
        <w:right w:w="100.0" w:type="dxa"/>
      </w:tblCellMar>
    </w:tblPr>
  </w:style>
  <w:style w:type="table" w:styleId="Table377">
    <w:basedOn w:val="TableNormal"/>
    <w:tblPr>
      <w:tblStyleRowBandSize w:val="1"/>
      <w:tblStyleColBandSize w:val="1"/>
      <w:tblCellMar>
        <w:top w:w="100.0" w:type="dxa"/>
        <w:left w:w="100.0" w:type="dxa"/>
        <w:bottom w:w="100.0" w:type="dxa"/>
        <w:right w:w="100.0" w:type="dxa"/>
      </w:tblCellMar>
    </w:tblPr>
  </w:style>
  <w:style w:type="table" w:styleId="Table378">
    <w:basedOn w:val="TableNormal"/>
    <w:tblPr>
      <w:tblStyleRowBandSize w:val="1"/>
      <w:tblStyleColBandSize w:val="1"/>
      <w:tblCellMar>
        <w:top w:w="100.0" w:type="dxa"/>
        <w:left w:w="100.0" w:type="dxa"/>
        <w:bottom w:w="100.0" w:type="dxa"/>
        <w:right w:w="100.0" w:type="dxa"/>
      </w:tblCellMar>
    </w:tblPr>
  </w:style>
  <w:style w:type="table" w:styleId="Table379">
    <w:basedOn w:val="TableNormal"/>
    <w:tblPr>
      <w:tblStyleRowBandSize w:val="1"/>
      <w:tblStyleColBandSize w:val="1"/>
      <w:tblCellMar>
        <w:top w:w="100.0" w:type="dxa"/>
        <w:left w:w="100.0" w:type="dxa"/>
        <w:bottom w:w="100.0" w:type="dxa"/>
        <w:right w:w="100.0" w:type="dxa"/>
      </w:tblCellMar>
    </w:tblPr>
  </w:style>
  <w:style w:type="table" w:styleId="Table380">
    <w:basedOn w:val="TableNormal"/>
    <w:tblPr>
      <w:tblStyleRowBandSize w:val="1"/>
      <w:tblStyleColBandSize w:val="1"/>
      <w:tblCellMar>
        <w:top w:w="100.0" w:type="dxa"/>
        <w:left w:w="100.0" w:type="dxa"/>
        <w:bottom w:w="100.0" w:type="dxa"/>
        <w:right w:w="100.0" w:type="dxa"/>
      </w:tblCellMar>
    </w:tblPr>
  </w:style>
  <w:style w:type="table" w:styleId="Table381">
    <w:basedOn w:val="TableNormal"/>
    <w:tblPr>
      <w:tblStyleRowBandSize w:val="1"/>
      <w:tblStyleColBandSize w:val="1"/>
      <w:tblCellMar>
        <w:top w:w="100.0" w:type="dxa"/>
        <w:left w:w="100.0" w:type="dxa"/>
        <w:bottom w:w="100.0" w:type="dxa"/>
        <w:right w:w="100.0" w:type="dxa"/>
      </w:tblCellMar>
    </w:tblPr>
  </w:style>
  <w:style w:type="table" w:styleId="Table382">
    <w:basedOn w:val="TableNormal"/>
    <w:tblPr>
      <w:tblStyleRowBandSize w:val="1"/>
      <w:tblStyleColBandSize w:val="1"/>
      <w:tblCellMar>
        <w:top w:w="100.0" w:type="dxa"/>
        <w:left w:w="100.0" w:type="dxa"/>
        <w:bottom w:w="100.0" w:type="dxa"/>
        <w:right w:w="100.0" w:type="dxa"/>
      </w:tblCellMar>
    </w:tblPr>
  </w:style>
  <w:style w:type="table" w:styleId="Table383">
    <w:basedOn w:val="TableNormal"/>
    <w:tblPr>
      <w:tblStyleRowBandSize w:val="1"/>
      <w:tblStyleColBandSize w:val="1"/>
      <w:tblCellMar>
        <w:top w:w="100.0" w:type="dxa"/>
        <w:left w:w="100.0" w:type="dxa"/>
        <w:bottom w:w="100.0" w:type="dxa"/>
        <w:right w:w="100.0" w:type="dxa"/>
      </w:tblCellMar>
    </w:tblPr>
  </w:style>
  <w:style w:type="table" w:styleId="Table384">
    <w:basedOn w:val="TableNormal"/>
    <w:tblPr>
      <w:tblStyleRowBandSize w:val="1"/>
      <w:tblStyleColBandSize w:val="1"/>
      <w:tblCellMar>
        <w:top w:w="100.0" w:type="dxa"/>
        <w:left w:w="100.0" w:type="dxa"/>
        <w:bottom w:w="100.0" w:type="dxa"/>
        <w:right w:w="100.0" w:type="dxa"/>
      </w:tblCellMar>
    </w:tblPr>
  </w:style>
  <w:style w:type="table" w:styleId="Table385">
    <w:basedOn w:val="TableNormal"/>
    <w:tblPr>
      <w:tblStyleRowBandSize w:val="1"/>
      <w:tblStyleColBandSize w:val="1"/>
      <w:tblCellMar>
        <w:top w:w="100.0" w:type="dxa"/>
        <w:left w:w="100.0" w:type="dxa"/>
        <w:bottom w:w="100.0" w:type="dxa"/>
        <w:right w:w="100.0" w:type="dxa"/>
      </w:tblCellMar>
    </w:tblPr>
  </w:style>
  <w:style w:type="table" w:styleId="Table386">
    <w:basedOn w:val="TableNormal"/>
    <w:tblPr>
      <w:tblStyleRowBandSize w:val="1"/>
      <w:tblStyleColBandSize w:val="1"/>
      <w:tblCellMar>
        <w:top w:w="100.0" w:type="dxa"/>
        <w:left w:w="100.0" w:type="dxa"/>
        <w:bottom w:w="100.0" w:type="dxa"/>
        <w:right w:w="100.0" w:type="dxa"/>
      </w:tblCellMar>
    </w:tblPr>
  </w:style>
  <w:style w:type="table" w:styleId="Table387">
    <w:basedOn w:val="TableNormal"/>
    <w:tblPr>
      <w:tblStyleRowBandSize w:val="1"/>
      <w:tblStyleColBandSize w:val="1"/>
      <w:tblCellMar>
        <w:top w:w="100.0" w:type="dxa"/>
        <w:left w:w="100.0" w:type="dxa"/>
        <w:bottom w:w="100.0" w:type="dxa"/>
        <w:right w:w="100.0" w:type="dxa"/>
      </w:tblCellMar>
    </w:tblPr>
  </w:style>
  <w:style w:type="table" w:styleId="Table388">
    <w:basedOn w:val="TableNormal"/>
    <w:tblPr>
      <w:tblStyleRowBandSize w:val="1"/>
      <w:tblStyleColBandSize w:val="1"/>
      <w:tblCellMar>
        <w:top w:w="100.0" w:type="dxa"/>
        <w:left w:w="100.0" w:type="dxa"/>
        <w:bottom w:w="100.0" w:type="dxa"/>
        <w:right w:w="100.0" w:type="dxa"/>
      </w:tblCellMar>
    </w:tblPr>
  </w:style>
  <w:style w:type="table" w:styleId="Table389">
    <w:basedOn w:val="TableNormal"/>
    <w:tblPr>
      <w:tblStyleRowBandSize w:val="1"/>
      <w:tblStyleColBandSize w:val="1"/>
      <w:tblCellMar>
        <w:top w:w="100.0" w:type="dxa"/>
        <w:left w:w="100.0" w:type="dxa"/>
        <w:bottom w:w="100.0" w:type="dxa"/>
        <w:right w:w="100.0" w:type="dxa"/>
      </w:tblCellMar>
    </w:tblPr>
  </w:style>
  <w:style w:type="table" w:styleId="Table390">
    <w:basedOn w:val="TableNormal"/>
    <w:tblPr>
      <w:tblStyleRowBandSize w:val="1"/>
      <w:tblStyleColBandSize w:val="1"/>
      <w:tblCellMar>
        <w:top w:w="100.0" w:type="dxa"/>
        <w:left w:w="100.0" w:type="dxa"/>
        <w:bottom w:w="100.0" w:type="dxa"/>
        <w:right w:w="100.0" w:type="dxa"/>
      </w:tblCellMar>
    </w:tblPr>
  </w:style>
  <w:style w:type="table" w:styleId="Table391">
    <w:basedOn w:val="TableNormal"/>
    <w:tblPr>
      <w:tblStyleRowBandSize w:val="1"/>
      <w:tblStyleColBandSize w:val="1"/>
      <w:tblCellMar>
        <w:top w:w="100.0" w:type="dxa"/>
        <w:left w:w="100.0" w:type="dxa"/>
        <w:bottom w:w="100.0" w:type="dxa"/>
        <w:right w:w="100.0" w:type="dxa"/>
      </w:tblCellMar>
    </w:tblPr>
  </w:style>
  <w:style w:type="table" w:styleId="Table392">
    <w:basedOn w:val="TableNormal"/>
    <w:tblPr>
      <w:tblStyleRowBandSize w:val="1"/>
      <w:tblStyleColBandSize w:val="1"/>
      <w:tblCellMar>
        <w:top w:w="100.0" w:type="dxa"/>
        <w:left w:w="100.0" w:type="dxa"/>
        <w:bottom w:w="100.0" w:type="dxa"/>
        <w:right w:w="100.0" w:type="dxa"/>
      </w:tblCellMar>
    </w:tblPr>
  </w:style>
  <w:style w:type="table" w:styleId="Table393">
    <w:basedOn w:val="TableNormal"/>
    <w:tblPr>
      <w:tblStyleRowBandSize w:val="1"/>
      <w:tblStyleColBandSize w:val="1"/>
      <w:tblCellMar>
        <w:top w:w="100.0" w:type="dxa"/>
        <w:left w:w="100.0" w:type="dxa"/>
        <w:bottom w:w="100.0" w:type="dxa"/>
        <w:right w:w="100.0" w:type="dxa"/>
      </w:tblCellMar>
    </w:tblPr>
  </w:style>
  <w:style w:type="table" w:styleId="Table394">
    <w:basedOn w:val="TableNormal"/>
    <w:tblPr>
      <w:tblStyleRowBandSize w:val="1"/>
      <w:tblStyleColBandSize w:val="1"/>
      <w:tblCellMar>
        <w:top w:w="100.0" w:type="dxa"/>
        <w:left w:w="100.0" w:type="dxa"/>
        <w:bottom w:w="100.0" w:type="dxa"/>
        <w:right w:w="100.0" w:type="dxa"/>
      </w:tblCellMar>
    </w:tblPr>
  </w:style>
  <w:style w:type="table" w:styleId="Table395">
    <w:basedOn w:val="TableNormal"/>
    <w:tblPr>
      <w:tblStyleRowBandSize w:val="1"/>
      <w:tblStyleColBandSize w:val="1"/>
      <w:tblCellMar>
        <w:top w:w="100.0" w:type="dxa"/>
        <w:left w:w="100.0" w:type="dxa"/>
        <w:bottom w:w="100.0" w:type="dxa"/>
        <w:right w:w="100.0" w:type="dxa"/>
      </w:tblCellMar>
    </w:tblPr>
  </w:style>
  <w:style w:type="table" w:styleId="Table396">
    <w:basedOn w:val="TableNormal"/>
    <w:tblPr>
      <w:tblStyleRowBandSize w:val="1"/>
      <w:tblStyleColBandSize w:val="1"/>
      <w:tblCellMar>
        <w:top w:w="100.0" w:type="dxa"/>
        <w:left w:w="100.0" w:type="dxa"/>
        <w:bottom w:w="100.0" w:type="dxa"/>
        <w:right w:w="100.0" w:type="dxa"/>
      </w:tblCellMar>
    </w:tblPr>
  </w:style>
  <w:style w:type="table" w:styleId="Table397">
    <w:basedOn w:val="TableNormal"/>
    <w:tblPr>
      <w:tblStyleRowBandSize w:val="1"/>
      <w:tblStyleColBandSize w:val="1"/>
      <w:tblCellMar>
        <w:top w:w="100.0" w:type="dxa"/>
        <w:left w:w="100.0" w:type="dxa"/>
        <w:bottom w:w="100.0" w:type="dxa"/>
        <w:right w:w="100.0" w:type="dxa"/>
      </w:tblCellMar>
    </w:tblPr>
  </w:style>
  <w:style w:type="table" w:styleId="Table398">
    <w:basedOn w:val="TableNormal"/>
    <w:tblPr>
      <w:tblStyleRowBandSize w:val="1"/>
      <w:tblStyleColBandSize w:val="1"/>
      <w:tblCellMar>
        <w:top w:w="100.0" w:type="dxa"/>
        <w:left w:w="100.0" w:type="dxa"/>
        <w:bottom w:w="100.0" w:type="dxa"/>
        <w:right w:w="100.0" w:type="dxa"/>
      </w:tblCellMar>
    </w:tblPr>
  </w:style>
  <w:style w:type="table" w:styleId="Table399">
    <w:basedOn w:val="TableNormal"/>
    <w:tblPr>
      <w:tblStyleRowBandSize w:val="1"/>
      <w:tblStyleColBandSize w:val="1"/>
      <w:tblCellMar>
        <w:top w:w="100.0" w:type="dxa"/>
        <w:left w:w="100.0" w:type="dxa"/>
        <w:bottom w:w="100.0" w:type="dxa"/>
        <w:right w:w="100.0" w:type="dxa"/>
      </w:tblCellMar>
    </w:tblPr>
  </w:style>
  <w:style w:type="table" w:styleId="Table400">
    <w:basedOn w:val="TableNormal"/>
    <w:tblPr>
      <w:tblStyleRowBandSize w:val="1"/>
      <w:tblStyleColBandSize w:val="1"/>
      <w:tblCellMar>
        <w:top w:w="100.0" w:type="dxa"/>
        <w:left w:w="100.0" w:type="dxa"/>
        <w:bottom w:w="100.0" w:type="dxa"/>
        <w:right w:w="100.0" w:type="dxa"/>
      </w:tblCellMar>
    </w:tblPr>
  </w:style>
  <w:style w:type="table" w:styleId="Table401">
    <w:basedOn w:val="TableNormal"/>
    <w:tblPr>
      <w:tblStyleRowBandSize w:val="1"/>
      <w:tblStyleColBandSize w:val="1"/>
      <w:tblCellMar>
        <w:top w:w="100.0" w:type="dxa"/>
        <w:left w:w="100.0" w:type="dxa"/>
        <w:bottom w:w="100.0" w:type="dxa"/>
        <w:right w:w="100.0" w:type="dxa"/>
      </w:tblCellMar>
    </w:tblPr>
  </w:style>
  <w:style w:type="table" w:styleId="Table402">
    <w:basedOn w:val="TableNormal"/>
    <w:tblPr>
      <w:tblStyleRowBandSize w:val="1"/>
      <w:tblStyleColBandSize w:val="1"/>
      <w:tblCellMar>
        <w:top w:w="100.0" w:type="dxa"/>
        <w:left w:w="100.0" w:type="dxa"/>
        <w:bottom w:w="100.0" w:type="dxa"/>
        <w:right w:w="100.0" w:type="dxa"/>
      </w:tblCellMar>
    </w:tblPr>
  </w:style>
  <w:style w:type="table" w:styleId="Table403">
    <w:basedOn w:val="TableNormal"/>
    <w:tblPr>
      <w:tblStyleRowBandSize w:val="1"/>
      <w:tblStyleColBandSize w:val="1"/>
      <w:tblCellMar>
        <w:top w:w="100.0" w:type="dxa"/>
        <w:left w:w="100.0" w:type="dxa"/>
        <w:bottom w:w="100.0" w:type="dxa"/>
        <w:right w:w="100.0" w:type="dxa"/>
      </w:tblCellMar>
    </w:tblPr>
  </w:style>
  <w:style w:type="table" w:styleId="Table404">
    <w:basedOn w:val="TableNormal"/>
    <w:tblPr>
      <w:tblStyleRowBandSize w:val="1"/>
      <w:tblStyleColBandSize w:val="1"/>
      <w:tblCellMar>
        <w:top w:w="100.0" w:type="dxa"/>
        <w:left w:w="100.0" w:type="dxa"/>
        <w:bottom w:w="100.0" w:type="dxa"/>
        <w:right w:w="100.0" w:type="dxa"/>
      </w:tblCellMar>
    </w:tblPr>
  </w:style>
  <w:style w:type="table" w:styleId="Table405">
    <w:basedOn w:val="TableNormal"/>
    <w:tblPr>
      <w:tblStyleRowBandSize w:val="1"/>
      <w:tblStyleColBandSize w:val="1"/>
      <w:tblCellMar>
        <w:top w:w="100.0" w:type="dxa"/>
        <w:left w:w="100.0" w:type="dxa"/>
        <w:bottom w:w="100.0" w:type="dxa"/>
        <w:right w:w="100.0" w:type="dxa"/>
      </w:tblCellMar>
    </w:tblPr>
  </w:style>
  <w:style w:type="table" w:styleId="Table406">
    <w:basedOn w:val="TableNormal"/>
    <w:tblPr>
      <w:tblStyleRowBandSize w:val="1"/>
      <w:tblStyleColBandSize w:val="1"/>
      <w:tblCellMar>
        <w:top w:w="100.0" w:type="dxa"/>
        <w:left w:w="100.0" w:type="dxa"/>
        <w:bottom w:w="100.0" w:type="dxa"/>
        <w:right w:w="100.0" w:type="dxa"/>
      </w:tblCellMar>
    </w:tblPr>
  </w:style>
  <w:style w:type="table" w:styleId="Table407">
    <w:basedOn w:val="TableNormal"/>
    <w:tblPr>
      <w:tblStyleRowBandSize w:val="1"/>
      <w:tblStyleColBandSize w:val="1"/>
      <w:tblCellMar>
        <w:top w:w="100.0" w:type="dxa"/>
        <w:left w:w="100.0" w:type="dxa"/>
        <w:bottom w:w="100.0" w:type="dxa"/>
        <w:right w:w="100.0" w:type="dxa"/>
      </w:tblCellMar>
    </w:tblPr>
  </w:style>
  <w:style w:type="table" w:styleId="Table408">
    <w:basedOn w:val="TableNormal"/>
    <w:tblPr>
      <w:tblStyleRowBandSize w:val="1"/>
      <w:tblStyleColBandSize w:val="1"/>
      <w:tblCellMar>
        <w:top w:w="100.0" w:type="dxa"/>
        <w:left w:w="100.0" w:type="dxa"/>
        <w:bottom w:w="100.0" w:type="dxa"/>
        <w:right w:w="100.0" w:type="dxa"/>
      </w:tblCellMar>
    </w:tblPr>
  </w:style>
  <w:style w:type="table" w:styleId="Table409">
    <w:basedOn w:val="TableNormal"/>
    <w:tblPr>
      <w:tblStyleRowBandSize w:val="1"/>
      <w:tblStyleColBandSize w:val="1"/>
      <w:tblCellMar>
        <w:top w:w="100.0" w:type="dxa"/>
        <w:left w:w="100.0" w:type="dxa"/>
        <w:bottom w:w="100.0" w:type="dxa"/>
        <w:right w:w="100.0" w:type="dxa"/>
      </w:tblCellMar>
    </w:tblPr>
  </w:style>
  <w:style w:type="table" w:styleId="Table410">
    <w:basedOn w:val="TableNormal"/>
    <w:tblPr>
      <w:tblStyleRowBandSize w:val="1"/>
      <w:tblStyleColBandSize w:val="1"/>
      <w:tblCellMar>
        <w:top w:w="100.0" w:type="dxa"/>
        <w:left w:w="100.0" w:type="dxa"/>
        <w:bottom w:w="100.0" w:type="dxa"/>
        <w:right w:w="100.0" w:type="dxa"/>
      </w:tblCellMar>
    </w:tblPr>
  </w:style>
  <w:style w:type="table" w:styleId="Table411">
    <w:basedOn w:val="TableNormal"/>
    <w:tblPr>
      <w:tblStyleRowBandSize w:val="1"/>
      <w:tblStyleColBandSize w:val="1"/>
      <w:tblCellMar>
        <w:top w:w="100.0" w:type="dxa"/>
        <w:left w:w="100.0" w:type="dxa"/>
        <w:bottom w:w="100.0" w:type="dxa"/>
        <w:right w:w="100.0" w:type="dxa"/>
      </w:tblCellMar>
    </w:tblPr>
  </w:style>
  <w:style w:type="table" w:styleId="Table412">
    <w:basedOn w:val="TableNormal"/>
    <w:tblPr>
      <w:tblStyleRowBandSize w:val="1"/>
      <w:tblStyleColBandSize w:val="1"/>
      <w:tblCellMar>
        <w:top w:w="100.0" w:type="dxa"/>
        <w:left w:w="100.0" w:type="dxa"/>
        <w:bottom w:w="100.0" w:type="dxa"/>
        <w:right w:w="100.0" w:type="dxa"/>
      </w:tblCellMar>
    </w:tblPr>
  </w:style>
  <w:style w:type="table" w:styleId="Table413">
    <w:basedOn w:val="TableNormal"/>
    <w:tblPr>
      <w:tblStyleRowBandSize w:val="1"/>
      <w:tblStyleColBandSize w:val="1"/>
      <w:tblCellMar>
        <w:top w:w="100.0" w:type="dxa"/>
        <w:left w:w="100.0" w:type="dxa"/>
        <w:bottom w:w="100.0" w:type="dxa"/>
        <w:right w:w="100.0" w:type="dxa"/>
      </w:tblCellMar>
    </w:tblPr>
  </w:style>
  <w:style w:type="table" w:styleId="Table414">
    <w:basedOn w:val="TableNormal"/>
    <w:tblPr>
      <w:tblStyleRowBandSize w:val="1"/>
      <w:tblStyleColBandSize w:val="1"/>
      <w:tblCellMar>
        <w:top w:w="100.0" w:type="dxa"/>
        <w:left w:w="100.0" w:type="dxa"/>
        <w:bottom w:w="100.0" w:type="dxa"/>
        <w:right w:w="100.0" w:type="dxa"/>
      </w:tblCellMar>
    </w:tblPr>
  </w:style>
  <w:style w:type="table" w:styleId="Table415">
    <w:basedOn w:val="TableNormal"/>
    <w:tblPr>
      <w:tblStyleRowBandSize w:val="1"/>
      <w:tblStyleColBandSize w:val="1"/>
      <w:tblCellMar>
        <w:top w:w="100.0" w:type="dxa"/>
        <w:left w:w="100.0" w:type="dxa"/>
        <w:bottom w:w="100.0" w:type="dxa"/>
        <w:right w:w="100.0" w:type="dxa"/>
      </w:tblCellMar>
    </w:tblPr>
  </w:style>
  <w:style w:type="table" w:styleId="Table416">
    <w:basedOn w:val="TableNormal"/>
    <w:tblPr>
      <w:tblStyleRowBandSize w:val="1"/>
      <w:tblStyleColBandSize w:val="1"/>
      <w:tblCellMar>
        <w:top w:w="100.0" w:type="dxa"/>
        <w:left w:w="100.0" w:type="dxa"/>
        <w:bottom w:w="100.0" w:type="dxa"/>
        <w:right w:w="100.0" w:type="dxa"/>
      </w:tblCellMar>
    </w:tblPr>
  </w:style>
  <w:style w:type="table" w:styleId="Table417">
    <w:basedOn w:val="TableNormal"/>
    <w:tblPr>
      <w:tblStyleRowBandSize w:val="1"/>
      <w:tblStyleColBandSize w:val="1"/>
      <w:tblCellMar>
        <w:top w:w="100.0" w:type="dxa"/>
        <w:left w:w="100.0" w:type="dxa"/>
        <w:bottom w:w="100.0" w:type="dxa"/>
        <w:right w:w="100.0" w:type="dxa"/>
      </w:tblCellMar>
    </w:tblPr>
  </w:style>
  <w:style w:type="table" w:styleId="Table418">
    <w:basedOn w:val="TableNormal"/>
    <w:tblPr>
      <w:tblStyleRowBandSize w:val="1"/>
      <w:tblStyleColBandSize w:val="1"/>
      <w:tblCellMar>
        <w:top w:w="100.0" w:type="dxa"/>
        <w:left w:w="100.0" w:type="dxa"/>
        <w:bottom w:w="100.0" w:type="dxa"/>
        <w:right w:w="100.0" w:type="dxa"/>
      </w:tblCellMar>
    </w:tblPr>
  </w:style>
  <w:style w:type="table" w:styleId="Table419">
    <w:basedOn w:val="TableNormal"/>
    <w:tblPr>
      <w:tblStyleRowBandSize w:val="1"/>
      <w:tblStyleColBandSize w:val="1"/>
      <w:tblCellMar>
        <w:top w:w="100.0" w:type="dxa"/>
        <w:left w:w="100.0" w:type="dxa"/>
        <w:bottom w:w="100.0" w:type="dxa"/>
        <w:right w:w="100.0" w:type="dxa"/>
      </w:tblCellMar>
    </w:tblPr>
  </w:style>
  <w:style w:type="table" w:styleId="Table420">
    <w:basedOn w:val="TableNormal"/>
    <w:tblPr>
      <w:tblStyleRowBandSize w:val="1"/>
      <w:tblStyleColBandSize w:val="1"/>
      <w:tblCellMar>
        <w:top w:w="100.0" w:type="dxa"/>
        <w:left w:w="100.0" w:type="dxa"/>
        <w:bottom w:w="100.0" w:type="dxa"/>
        <w:right w:w="100.0" w:type="dxa"/>
      </w:tblCellMar>
    </w:tblPr>
  </w:style>
  <w:style w:type="table" w:styleId="Table421">
    <w:basedOn w:val="TableNormal"/>
    <w:tblPr>
      <w:tblStyleRowBandSize w:val="1"/>
      <w:tblStyleColBandSize w:val="1"/>
      <w:tblCellMar>
        <w:top w:w="100.0" w:type="dxa"/>
        <w:left w:w="100.0" w:type="dxa"/>
        <w:bottom w:w="100.0" w:type="dxa"/>
        <w:right w:w="100.0" w:type="dxa"/>
      </w:tblCellMar>
    </w:tblPr>
  </w:style>
  <w:style w:type="table" w:styleId="Table422">
    <w:basedOn w:val="TableNormal"/>
    <w:tblPr>
      <w:tblStyleRowBandSize w:val="1"/>
      <w:tblStyleColBandSize w:val="1"/>
      <w:tblCellMar>
        <w:top w:w="100.0" w:type="dxa"/>
        <w:left w:w="100.0" w:type="dxa"/>
        <w:bottom w:w="100.0" w:type="dxa"/>
        <w:right w:w="100.0" w:type="dxa"/>
      </w:tblCellMar>
    </w:tblPr>
  </w:style>
  <w:style w:type="table" w:styleId="Table423">
    <w:basedOn w:val="TableNormal"/>
    <w:tblPr>
      <w:tblStyleRowBandSize w:val="1"/>
      <w:tblStyleColBandSize w:val="1"/>
      <w:tblCellMar>
        <w:top w:w="100.0" w:type="dxa"/>
        <w:left w:w="100.0" w:type="dxa"/>
        <w:bottom w:w="100.0" w:type="dxa"/>
        <w:right w:w="100.0" w:type="dxa"/>
      </w:tblCellMar>
    </w:tblPr>
  </w:style>
  <w:style w:type="table" w:styleId="Table424">
    <w:basedOn w:val="TableNormal"/>
    <w:tblPr>
      <w:tblStyleRowBandSize w:val="1"/>
      <w:tblStyleColBandSize w:val="1"/>
      <w:tblCellMar>
        <w:top w:w="100.0" w:type="dxa"/>
        <w:left w:w="100.0" w:type="dxa"/>
        <w:bottom w:w="100.0" w:type="dxa"/>
        <w:right w:w="100.0" w:type="dxa"/>
      </w:tblCellMar>
    </w:tblPr>
  </w:style>
  <w:style w:type="table" w:styleId="Table425">
    <w:basedOn w:val="TableNormal"/>
    <w:tblPr>
      <w:tblStyleRowBandSize w:val="1"/>
      <w:tblStyleColBandSize w:val="1"/>
      <w:tblCellMar>
        <w:top w:w="100.0" w:type="dxa"/>
        <w:left w:w="100.0" w:type="dxa"/>
        <w:bottom w:w="100.0" w:type="dxa"/>
        <w:right w:w="100.0" w:type="dxa"/>
      </w:tblCellMar>
    </w:tblPr>
  </w:style>
  <w:style w:type="table" w:styleId="Table426">
    <w:basedOn w:val="TableNormal"/>
    <w:tblPr>
      <w:tblStyleRowBandSize w:val="1"/>
      <w:tblStyleColBandSize w:val="1"/>
      <w:tblCellMar>
        <w:top w:w="100.0" w:type="dxa"/>
        <w:left w:w="100.0" w:type="dxa"/>
        <w:bottom w:w="100.0" w:type="dxa"/>
        <w:right w:w="100.0" w:type="dxa"/>
      </w:tblCellMar>
    </w:tblPr>
  </w:style>
  <w:style w:type="table" w:styleId="Table427">
    <w:basedOn w:val="TableNormal"/>
    <w:tblPr>
      <w:tblStyleRowBandSize w:val="1"/>
      <w:tblStyleColBandSize w:val="1"/>
      <w:tblCellMar>
        <w:top w:w="100.0" w:type="dxa"/>
        <w:left w:w="100.0" w:type="dxa"/>
        <w:bottom w:w="100.0" w:type="dxa"/>
        <w:right w:w="100.0" w:type="dxa"/>
      </w:tblCellMar>
    </w:tblPr>
  </w:style>
  <w:style w:type="table" w:styleId="Table428">
    <w:basedOn w:val="TableNormal"/>
    <w:tblPr>
      <w:tblStyleRowBandSize w:val="1"/>
      <w:tblStyleColBandSize w:val="1"/>
      <w:tblCellMar>
        <w:top w:w="100.0" w:type="dxa"/>
        <w:left w:w="100.0" w:type="dxa"/>
        <w:bottom w:w="100.0" w:type="dxa"/>
        <w:right w:w="100.0" w:type="dxa"/>
      </w:tblCellMar>
    </w:tblPr>
  </w:style>
  <w:style w:type="table" w:styleId="Table429">
    <w:basedOn w:val="TableNormal"/>
    <w:tblPr>
      <w:tblStyleRowBandSize w:val="1"/>
      <w:tblStyleColBandSize w:val="1"/>
      <w:tblCellMar>
        <w:top w:w="100.0" w:type="dxa"/>
        <w:left w:w="100.0" w:type="dxa"/>
        <w:bottom w:w="100.0" w:type="dxa"/>
        <w:right w:w="100.0" w:type="dxa"/>
      </w:tblCellMar>
    </w:tblPr>
  </w:style>
  <w:style w:type="table" w:styleId="Table430">
    <w:basedOn w:val="TableNormal"/>
    <w:tblPr>
      <w:tblStyleRowBandSize w:val="1"/>
      <w:tblStyleColBandSize w:val="1"/>
      <w:tblCellMar>
        <w:top w:w="100.0" w:type="dxa"/>
        <w:left w:w="100.0" w:type="dxa"/>
        <w:bottom w:w="100.0" w:type="dxa"/>
        <w:right w:w="100.0" w:type="dxa"/>
      </w:tblCellMar>
    </w:tblPr>
  </w:style>
  <w:style w:type="table" w:styleId="Table431">
    <w:basedOn w:val="TableNormal"/>
    <w:tblPr>
      <w:tblStyleRowBandSize w:val="1"/>
      <w:tblStyleColBandSize w:val="1"/>
      <w:tblCellMar>
        <w:top w:w="100.0" w:type="dxa"/>
        <w:left w:w="100.0" w:type="dxa"/>
        <w:bottom w:w="100.0" w:type="dxa"/>
        <w:right w:w="100.0" w:type="dxa"/>
      </w:tblCellMar>
    </w:tblPr>
  </w:style>
  <w:style w:type="table" w:styleId="Table432">
    <w:basedOn w:val="TableNormal"/>
    <w:tblPr>
      <w:tblStyleRowBandSize w:val="1"/>
      <w:tblStyleColBandSize w:val="1"/>
      <w:tblCellMar>
        <w:top w:w="100.0" w:type="dxa"/>
        <w:left w:w="100.0" w:type="dxa"/>
        <w:bottom w:w="100.0" w:type="dxa"/>
        <w:right w:w="100.0" w:type="dxa"/>
      </w:tblCellMar>
    </w:tblPr>
  </w:style>
  <w:style w:type="table" w:styleId="Table433">
    <w:basedOn w:val="TableNormal"/>
    <w:tblPr>
      <w:tblStyleRowBandSize w:val="1"/>
      <w:tblStyleColBandSize w:val="1"/>
      <w:tblCellMar>
        <w:top w:w="100.0" w:type="dxa"/>
        <w:left w:w="100.0" w:type="dxa"/>
        <w:bottom w:w="100.0" w:type="dxa"/>
        <w:right w:w="100.0" w:type="dxa"/>
      </w:tblCellMar>
    </w:tblPr>
  </w:style>
  <w:style w:type="table" w:styleId="Table434">
    <w:basedOn w:val="TableNormal"/>
    <w:tblPr>
      <w:tblStyleRowBandSize w:val="1"/>
      <w:tblStyleColBandSize w:val="1"/>
      <w:tblCellMar>
        <w:top w:w="100.0" w:type="dxa"/>
        <w:left w:w="100.0" w:type="dxa"/>
        <w:bottom w:w="100.0" w:type="dxa"/>
        <w:right w:w="100.0" w:type="dxa"/>
      </w:tblCellMar>
    </w:tblPr>
  </w:style>
  <w:style w:type="table" w:styleId="Table435">
    <w:basedOn w:val="TableNormal"/>
    <w:tblPr>
      <w:tblStyleRowBandSize w:val="1"/>
      <w:tblStyleColBandSize w:val="1"/>
      <w:tblCellMar>
        <w:top w:w="100.0" w:type="dxa"/>
        <w:left w:w="100.0" w:type="dxa"/>
        <w:bottom w:w="100.0" w:type="dxa"/>
        <w:right w:w="100.0" w:type="dxa"/>
      </w:tblCellMar>
    </w:tblPr>
  </w:style>
  <w:style w:type="table" w:styleId="Table436">
    <w:basedOn w:val="TableNormal"/>
    <w:tblPr>
      <w:tblStyleRowBandSize w:val="1"/>
      <w:tblStyleColBandSize w:val="1"/>
      <w:tblCellMar>
        <w:top w:w="100.0" w:type="dxa"/>
        <w:left w:w="100.0" w:type="dxa"/>
        <w:bottom w:w="100.0" w:type="dxa"/>
        <w:right w:w="100.0" w:type="dxa"/>
      </w:tblCellMar>
    </w:tblPr>
  </w:style>
  <w:style w:type="table" w:styleId="Table437">
    <w:basedOn w:val="TableNormal"/>
    <w:tblPr>
      <w:tblStyleRowBandSize w:val="1"/>
      <w:tblStyleColBandSize w:val="1"/>
      <w:tblCellMar>
        <w:top w:w="100.0" w:type="dxa"/>
        <w:left w:w="100.0" w:type="dxa"/>
        <w:bottom w:w="100.0" w:type="dxa"/>
        <w:right w:w="100.0" w:type="dxa"/>
      </w:tblCellMar>
    </w:tblPr>
  </w:style>
  <w:style w:type="table" w:styleId="Table438">
    <w:basedOn w:val="TableNormal"/>
    <w:tblPr>
      <w:tblStyleRowBandSize w:val="1"/>
      <w:tblStyleColBandSize w:val="1"/>
      <w:tblCellMar>
        <w:top w:w="100.0" w:type="dxa"/>
        <w:left w:w="100.0" w:type="dxa"/>
        <w:bottom w:w="100.0" w:type="dxa"/>
        <w:right w:w="100.0" w:type="dxa"/>
      </w:tblCellMar>
    </w:tblPr>
  </w:style>
  <w:style w:type="table" w:styleId="Table439">
    <w:basedOn w:val="TableNormal"/>
    <w:tblPr>
      <w:tblStyleRowBandSize w:val="1"/>
      <w:tblStyleColBandSize w:val="1"/>
      <w:tblCellMar>
        <w:top w:w="100.0" w:type="dxa"/>
        <w:left w:w="100.0" w:type="dxa"/>
        <w:bottom w:w="100.0" w:type="dxa"/>
        <w:right w:w="100.0" w:type="dxa"/>
      </w:tblCellMar>
    </w:tblPr>
  </w:style>
  <w:style w:type="table" w:styleId="Table440">
    <w:basedOn w:val="TableNormal"/>
    <w:tblPr>
      <w:tblStyleRowBandSize w:val="1"/>
      <w:tblStyleColBandSize w:val="1"/>
      <w:tblCellMar>
        <w:top w:w="100.0" w:type="dxa"/>
        <w:left w:w="100.0" w:type="dxa"/>
        <w:bottom w:w="100.0" w:type="dxa"/>
        <w:right w:w="100.0" w:type="dxa"/>
      </w:tblCellMar>
    </w:tblPr>
  </w:style>
  <w:style w:type="table" w:styleId="Table441">
    <w:basedOn w:val="TableNormal"/>
    <w:tblPr>
      <w:tblStyleRowBandSize w:val="1"/>
      <w:tblStyleColBandSize w:val="1"/>
      <w:tblCellMar>
        <w:top w:w="100.0" w:type="dxa"/>
        <w:left w:w="100.0" w:type="dxa"/>
        <w:bottom w:w="100.0" w:type="dxa"/>
        <w:right w:w="100.0" w:type="dxa"/>
      </w:tblCellMar>
    </w:tblPr>
  </w:style>
  <w:style w:type="table" w:styleId="Table442">
    <w:basedOn w:val="TableNormal"/>
    <w:tblPr>
      <w:tblStyleRowBandSize w:val="1"/>
      <w:tblStyleColBandSize w:val="1"/>
      <w:tblCellMar>
        <w:top w:w="100.0" w:type="dxa"/>
        <w:left w:w="100.0" w:type="dxa"/>
        <w:bottom w:w="100.0" w:type="dxa"/>
        <w:right w:w="100.0" w:type="dxa"/>
      </w:tblCellMar>
    </w:tblPr>
  </w:style>
  <w:style w:type="table" w:styleId="Table443">
    <w:basedOn w:val="TableNormal"/>
    <w:tblPr>
      <w:tblStyleRowBandSize w:val="1"/>
      <w:tblStyleColBandSize w:val="1"/>
      <w:tblCellMar>
        <w:top w:w="100.0" w:type="dxa"/>
        <w:left w:w="100.0" w:type="dxa"/>
        <w:bottom w:w="100.0" w:type="dxa"/>
        <w:right w:w="100.0" w:type="dxa"/>
      </w:tblCellMar>
    </w:tblPr>
  </w:style>
  <w:style w:type="table" w:styleId="Table444">
    <w:basedOn w:val="TableNormal"/>
    <w:tblPr>
      <w:tblStyleRowBandSize w:val="1"/>
      <w:tblStyleColBandSize w:val="1"/>
      <w:tblCellMar>
        <w:top w:w="100.0" w:type="dxa"/>
        <w:left w:w="100.0" w:type="dxa"/>
        <w:bottom w:w="100.0" w:type="dxa"/>
        <w:right w:w="100.0" w:type="dxa"/>
      </w:tblCellMar>
    </w:tblPr>
  </w:style>
  <w:style w:type="table" w:styleId="Table445">
    <w:basedOn w:val="TableNormal"/>
    <w:tblPr>
      <w:tblStyleRowBandSize w:val="1"/>
      <w:tblStyleColBandSize w:val="1"/>
      <w:tblCellMar>
        <w:top w:w="100.0" w:type="dxa"/>
        <w:left w:w="100.0" w:type="dxa"/>
        <w:bottom w:w="100.0" w:type="dxa"/>
        <w:right w:w="100.0" w:type="dxa"/>
      </w:tblCellMar>
    </w:tblPr>
  </w:style>
  <w:style w:type="table" w:styleId="Table446">
    <w:basedOn w:val="TableNormal"/>
    <w:tblPr>
      <w:tblStyleRowBandSize w:val="1"/>
      <w:tblStyleColBandSize w:val="1"/>
      <w:tblCellMar>
        <w:top w:w="100.0" w:type="dxa"/>
        <w:left w:w="100.0" w:type="dxa"/>
        <w:bottom w:w="100.0" w:type="dxa"/>
        <w:right w:w="100.0" w:type="dxa"/>
      </w:tblCellMar>
    </w:tblPr>
  </w:style>
  <w:style w:type="table" w:styleId="Table447">
    <w:basedOn w:val="TableNormal"/>
    <w:tblPr>
      <w:tblStyleRowBandSize w:val="1"/>
      <w:tblStyleColBandSize w:val="1"/>
      <w:tblCellMar>
        <w:top w:w="100.0" w:type="dxa"/>
        <w:left w:w="100.0" w:type="dxa"/>
        <w:bottom w:w="100.0" w:type="dxa"/>
        <w:right w:w="100.0" w:type="dxa"/>
      </w:tblCellMar>
    </w:tblPr>
  </w:style>
  <w:style w:type="table" w:styleId="Table448">
    <w:basedOn w:val="TableNormal"/>
    <w:tblPr>
      <w:tblStyleRowBandSize w:val="1"/>
      <w:tblStyleColBandSize w:val="1"/>
      <w:tblCellMar>
        <w:top w:w="100.0" w:type="dxa"/>
        <w:left w:w="100.0" w:type="dxa"/>
        <w:bottom w:w="100.0" w:type="dxa"/>
        <w:right w:w="100.0" w:type="dxa"/>
      </w:tblCellMar>
    </w:tblPr>
  </w:style>
  <w:style w:type="table" w:styleId="Table449">
    <w:basedOn w:val="TableNormal"/>
    <w:tblPr>
      <w:tblStyleRowBandSize w:val="1"/>
      <w:tblStyleColBandSize w:val="1"/>
      <w:tblCellMar>
        <w:top w:w="100.0" w:type="dxa"/>
        <w:left w:w="100.0" w:type="dxa"/>
        <w:bottom w:w="100.0" w:type="dxa"/>
        <w:right w:w="100.0" w:type="dxa"/>
      </w:tblCellMar>
    </w:tblPr>
  </w:style>
  <w:style w:type="table" w:styleId="Table450">
    <w:basedOn w:val="TableNormal"/>
    <w:tblPr>
      <w:tblStyleRowBandSize w:val="1"/>
      <w:tblStyleColBandSize w:val="1"/>
      <w:tblCellMar>
        <w:top w:w="100.0" w:type="dxa"/>
        <w:left w:w="100.0" w:type="dxa"/>
        <w:bottom w:w="100.0" w:type="dxa"/>
        <w:right w:w="100.0" w:type="dxa"/>
      </w:tblCellMar>
    </w:tblPr>
  </w:style>
  <w:style w:type="table" w:styleId="Table451">
    <w:basedOn w:val="TableNormal"/>
    <w:tblPr>
      <w:tblStyleRowBandSize w:val="1"/>
      <w:tblStyleColBandSize w:val="1"/>
      <w:tblCellMar>
        <w:top w:w="100.0" w:type="dxa"/>
        <w:left w:w="100.0" w:type="dxa"/>
        <w:bottom w:w="100.0" w:type="dxa"/>
        <w:right w:w="100.0" w:type="dxa"/>
      </w:tblCellMar>
    </w:tblPr>
  </w:style>
  <w:style w:type="table" w:styleId="Table452">
    <w:basedOn w:val="TableNormal"/>
    <w:tblPr>
      <w:tblStyleRowBandSize w:val="1"/>
      <w:tblStyleColBandSize w:val="1"/>
      <w:tblCellMar>
        <w:top w:w="100.0" w:type="dxa"/>
        <w:left w:w="100.0" w:type="dxa"/>
        <w:bottom w:w="100.0" w:type="dxa"/>
        <w:right w:w="100.0" w:type="dxa"/>
      </w:tblCellMar>
    </w:tblPr>
  </w:style>
  <w:style w:type="table" w:styleId="Table453">
    <w:basedOn w:val="TableNormal"/>
    <w:tblPr>
      <w:tblStyleRowBandSize w:val="1"/>
      <w:tblStyleColBandSize w:val="1"/>
      <w:tblCellMar>
        <w:top w:w="100.0" w:type="dxa"/>
        <w:left w:w="100.0" w:type="dxa"/>
        <w:bottom w:w="100.0" w:type="dxa"/>
        <w:right w:w="100.0" w:type="dxa"/>
      </w:tblCellMar>
    </w:tblPr>
  </w:style>
  <w:style w:type="table" w:styleId="Table454">
    <w:basedOn w:val="TableNormal"/>
    <w:tblPr>
      <w:tblStyleRowBandSize w:val="1"/>
      <w:tblStyleColBandSize w:val="1"/>
      <w:tblCellMar>
        <w:top w:w="100.0" w:type="dxa"/>
        <w:left w:w="100.0" w:type="dxa"/>
        <w:bottom w:w="100.0" w:type="dxa"/>
        <w:right w:w="100.0" w:type="dxa"/>
      </w:tblCellMar>
    </w:tblPr>
  </w:style>
  <w:style w:type="table" w:styleId="Table455">
    <w:basedOn w:val="TableNormal"/>
    <w:tblPr>
      <w:tblStyleRowBandSize w:val="1"/>
      <w:tblStyleColBandSize w:val="1"/>
      <w:tblCellMar>
        <w:top w:w="100.0" w:type="dxa"/>
        <w:left w:w="100.0" w:type="dxa"/>
        <w:bottom w:w="100.0" w:type="dxa"/>
        <w:right w:w="100.0" w:type="dxa"/>
      </w:tblCellMar>
    </w:tblPr>
  </w:style>
  <w:style w:type="table" w:styleId="Table456">
    <w:basedOn w:val="TableNormal"/>
    <w:tblPr>
      <w:tblStyleRowBandSize w:val="1"/>
      <w:tblStyleColBandSize w:val="1"/>
      <w:tblCellMar>
        <w:top w:w="100.0" w:type="dxa"/>
        <w:left w:w="100.0" w:type="dxa"/>
        <w:bottom w:w="100.0" w:type="dxa"/>
        <w:right w:w="100.0" w:type="dxa"/>
      </w:tblCellMar>
    </w:tblPr>
  </w:style>
  <w:style w:type="table" w:styleId="Table457">
    <w:basedOn w:val="TableNormal"/>
    <w:tblPr>
      <w:tblStyleRowBandSize w:val="1"/>
      <w:tblStyleColBandSize w:val="1"/>
      <w:tblCellMar>
        <w:top w:w="100.0" w:type="dxa"/>
        <w:left w:w="100.0" w:type="dxa"/>
        <w:bottom w:w="100.0" w:type="dxa"/>
        <w:right w:w="100.0" w:type="dxa"/>
      </w:tblCellMar>
    </w:tblPr>
  </w:style>
  <w:style w:type="table" w:styleId="Table458">
    <w:basedOn w:val="TableNormal"/>
    <w:tblPr>
      <w:tblStyleRowBandSize w:val="1"/>
      <w:tblStyleColBandSize w:val="1"/>
      <w:tblCellMar>
        <w:top w:w="100.0" w:type="dxa"/>
        <w:left w:w="100.0" w:type="dxa"/>
        <w:bottom w:w="100.0" w:type="dxa"/>
        <w:right w:w="100.0" w:type="dxa"/>
      </w:tblCellMar>
    </w:tblPr>
  </w:style>
  <w:style w:type="table" w:styleId="Table459">
    <w:basedOn w:val="TableNormal"/>
    <w:tblPr>
      <w:tblStyleRowBandSize w:val="1"/>
      <w:tblStyleColBandSize w:val="1"/>
      <w:tblCellMar>
        <w:top w:w="100.0" w:type="dxa"/>
        <w:left w:w="100.0" w:type="dxa"/>
        <w:bottom w:w="100.0" w:type="dxa"/>
        <w:right w:w="100.0" w:type="dxa"/>
      </w:tblCellMar>
    </w:tblPr>
  </w:style>
  <w:style w:type="table" w:styleId="Table460">
    <w:basedOn w:val="TableNormal"/>
    <w:tblPr>
      <w:tblStyleRowBandSize w:val="1"/>
      <w:tblStyleColBandSize w:val="1"/>
      <w:tblCellMar>
        <w:top w:w="100.0" w:type="dxa"/>
        <w:left w:w="100.0" w:type="dxa"/>
        <w:bottom w:w="100.0" w:type="dxa"/>
        <w:right w:w="100.0" w:type="dxa"/>
      </w:tblCellMar>
    </w:tblPr>
  </w:style>
  <w:style w:type="table" w:styleId="Table461">
    <w:basedOn w:val="TableNormal"/>
    <w:tblPr>
      <w:tblStyleRowBandSize w:val="1"/>
      <w:tblStyleColBandSize w:val="1"/>
      <w:tblCellMar>
        <w:top w:w="100.0" w:type="dxa"/>
        <w:left w:w="100.0" w:type="dxa"/>
        <w:bottom w:w="100.0" w:type="dxa"/>
        <w:right w:w="100.0" w:type="dxa"/>
      </w:tblCellMar>
    </w:tblPr>
  </w:style>
  <w:style w:type="table" w:styleId="Table462">
    <w:basedOn w:val="TableNormal"/>
    <w:tblPr>
      <w:tblStyleRowBandSize w:val="1"/>
      <w:tblStyleColBandSize w:val="1"/>
      <w:tblCellMar>
        <w:top w:w="100.0" w:type="dxa"/>
        <w:left w:w="100.0" w:type="dxa"/>
        <w:bottom w:w="100.0" w:type="dxa"/>
        <w:right w:w="100.0" w:type="dxa"/>
      </w:tblCellMar>
    </w:tblPr>
  </w:style>
  <w:style w:type="table" w:styleId="Table463">
    <w:basedOn w:val="TableNormal"/>
    <w:tblPr>
      <w:tblStyleRowBandSize w:val="1"/>
      <w:tblStyleColBandSize w:val="1"/>
      <w:tblCellMar>
        <w:top w:w="100.0" w:type="dxa"/>
        <w:left w:w="100.0" w:type="dxa"/>
        <w:bottom w:w="100.0" w:type="dxa"/>
        <w:right w:w="100.0" w:type="dxa"/>
      </w:tblCellMar>
    </w:tblPr>
  </w:style>
  <w:style w:type="table" w:styleId="Table464">
    <w:basedOn w:val="TableNormal"/>
    <w:tblPr>
      <w:tblStyleRowBandSize w:val="1"/>
      <w:tblStyleColBandSize w:val="1"/>
      <w:tblCellMar>
        <w:top w:w="100.0" w:type="dxa"/>
        <w:left w:w="100.0" w:type="dxa"/>
        <w:bottom w:w="100.0" w:type="dxa"/>
        <w:right w:w="100.0" w:type="dxa"/>
      </w:tblCellMar>
    </w:tblPr>
  </w:style>
  <w:style w:type="table" w:styleId="Table465">
    <w:basedOn w:val="TableNormal"/>
    <w:tblPr>
      <w:tblStyleRowBandSize w:val="1"/>
      <w:tblStyleColBandSize w:val="1"/>
      <w:tblCellMar>
        <w:top w:w="100.0" w:type="dxa"/>
        <w:left w:w="100.0" w:type="dxa"/>
        <w:bottom w:w="100.0" w:type="dxa"/>
        <w:right w:w="100.0" w:type="dxa"/>
      </w:tblCellMar>
    </w:tblPr>
  </w:style>
  <w:style w:type="table" w:styleId="Table466">
    <w:basedOn w:val="TableNormal"/>
    <w:tblPr>
      <w:tblStyleRowBandSize w:val="1"/>
      <w:tblStyleColBandSize w:val="1"/>
      <w:tblCellMar>
        <w:top w:w="100.0" w:type="dxa"/>
        <w:left w:w="100.0" w:type="dxa"/>
        <w:bottom w:w="100.0" w:type="dxa"/>
        <w:right w:w="100.0" w:type="dxa"/>
      </w:tblCellMar>
    </w:tblPr>
  </w:style>
  <w:style w:type="table" w:styleId="Table467">
    <w:basedOn w:val="TableNormal"/>
    <w:tblPr>
      <w:tblStyleRowBandSize w:val="1"/>
      <w:tblStyleColBandSize w:val="1"/>
      <w:tblCellMar>
        <w:top w:w="100.0" w:type="dxa"/>
        <w:left w:w="100.0" w:type="dxa"/>
        <w:bottom w:w="100.0" w:type="dxa"/>
        <w:right w:w="100.0" w:type="dxa"/>
      </w:tblCellMar>
    </w:tblPr>
  </w:style>
  <w:style w:type="table" w:styleId="Table468">
    <w:basedOn w:val="TableNormal"/>
    <w:tblPr>
      <w:tblStyleRowBandSize w:val="1"/>
      <w:tblStyleColBandSize w:val="1"/>
      <w:tblCellMar>
        <w:top w:w="100.0" w:type="dxa"/>
        <w:left w:w="100.0" w:type="dxa"/>
        <w:bottom w:w="100.0" w:type="dxa"/>
        <w:right w:w="100.0" w:type="dxa"/>
      </w:tblCellMar>
    </w:tblPr>
  </w:style>
  <w:style w:type="table" w:styleId="Table469">
    <w:basedOn w:val="TableNormal"/>
    <w:tblPr>
      <w:tblStyleRowBandSize w:val="1"/>
      <w:tblStyleColBandSize w:val="1"/>
      <w:tblCellMar>
        <w:top w:w="100.0" w:type="dxa"/>
        <w:left w:w="100.0" w:type="dxa"/>
        <w:bottom w:w="100.0" w:type="dxa"/>
        <w:right w:w="100.0" w:type="dxa"/>
      </w:tblCellMar>
    </w:tblPr>
  </w:style>
  <w:style w:type="table" w:styleId="Table470">
    <w:basedOn w:val="TableNormal"/>
    <w:tblPr>
      <w:tblStyleRowBandSize w:val="1"/>
      <w:tblStyleColBandSize w:val="1"/>
      <w:tblCellMar>
        <w:top w:w="100.0" w:type="dxa"/>
        <w:left w:w="100.0" w:type="dxa"/>
        <w:bottom w:w="100.0" w:type="dxa"/>
        <w:right w:w="100.0" w:type="dxa"/>
      </w:tblCellMar>
    </w:tblPr>
  </w:style>
  <w:style w:type="table" w:styleId="Table471">
    <w:basedOn w:val="TableNormal"/>
    <w:tblPr>
      <w:tblStyleRowBandSize w:val="1"/>
      <w:tblStyleColBandSize w:val="1"/>
      <w:tblCellMar>
        <w:top w:w="100.0" w:type="dxa"/>
        <w:left w:w="100.0" w:type="dxa"/>
        <w:bottom w:w="100.0" w:type="dxa"/>
        <w:right w:w="100.0" w:type="dxa"/>
      </w:tblCellMar>
    </w:tblPr>
  </w:style>
  <w:style w:type="table" w:styleId="Table472">
    <w:basedOn w:val="TableNormal"/>
    <w:tblPr>
      <w:tblStyleRowBandSize w:val="1"/>
      <w:tblStyleColBandSize w:val="1"/>
      <w:tblCellMar>
        <w:top w:w="100.0" w:type="dxa"/>
        <w:left w:w="100.0" w:type="dxa"/>
        <w:bottom w:w="100.0" w:type="dxa"/>
        <w:right w:w="100.0" w:type="dxa"/>
      </w:tblCellMar>
    </w:tblPr>
  </w:style>
  <w:style w:type="table" w:styleId="Table473">
    <w:basedOn w:val="TableNormal"/>
    <w:tblPr>
      <w:tblStyleRowBandSize w:val="1"/>
      <w:tblStyleColBandSize w:val="1"/>
      <w:tblCellMar>
        <w:top w:w="100.0" w:type="dxa"/>
        <w:left w:w="100.0" w:type="dxa"/>
        <w:bottom w:w="100.0" w:type="dxa"/>
        <w:right w:w="100.0" w:type="dxa"/>
      </w:tblCellMar>
    </w:tblPr>
  </w:style>
  <w:style w:type="table" w:styleId="Table474">
    <w:basedOn w:val="TableNormal"/>
    <w:tblPr>
      <w:tblStyleRowBandSize w:val="1"/>
      <w:tblStyleColBandSize w:val="1"/>
      <w:tblCellMar>
        <w:top w:w="100.0" w:type="dxa"/>
        <w:left w:w="100.0" w:type="dxa"/>
        <w:bottom w:w="100.0" w:type="dxa"/>
        <w:right w:w="100.0" w:type="dxa"/>
      </w:tblCellMar>
    </w:tblPr>
  </w:style>
  <w:style w:type="table" w:styleId="Table475">
    <w:basedOn w:val="TableNormal"/>
    <w:tblPr>
      <w:tblStyleRowBandSize w:val="1"/>
      <w:tblStyleColBandSize w:val="1"/>
      <w:tblCellMar>
        <w:top w:w="100.0" w:type="dxa"/>
        <w:left w:w="100.0" w:type="dxa"/>
        <w:bottom w:w="100.0" w:type="dxa"/>
        <w:right w:w="100.0" w:type="dxa"/>
      </w:tblCellMar>
    </w:tblPr>
  </w:style>
  <w:style w:type="table" w:styleId="Table476">
    <w:basedOn w:val="TableNormal"/>
    <w:tblPr>
      <w:tblStyleRowBandSize w:val="1"/>
      <w:tblStyleColBandSize w:val="1"/>
      <w:tblCellMar>
        <w:top w:w="100.0" w:type="dxa"/>
        <w:left w:w="100.0" w:type="dxa"/>
        <w:bottom w:w="100.0" w:type="dxa"/>
        <w:right w:w="100.0" w:type="dxa"/>
      </w:tblCellMar>
    </w:tblPr>
  </w:style>
  <w:style w:type="table" w:styleId="Table477">
    <w:basedOn w:val="TableNormal"/>
    <w:tblPr>
      <w:tblStyleRowBandSize w:val="1"/>
      <w:tblStyleColBandSize w:val="1"/>
      <w:tblCellMar>
        <w:top w:w="100.0" w:type="dxa"/>
        <w:left w:w="100.0" w:type="dxa"/>
        <w:bottom w:w="100.0" w:type="dxa"/>
        <w:right w:w="100.0" w:type="dxa"/>
      </w:tblCellMar>
    </w:tblPr>
  </w:style>
  <w:style w:type="table" w:styleId="Table478">
    <w:basedOn w:val="TableNormal"/>
    <w:tblPr>
      <w:tblStyleRowBandSize w:val="1"/>
      <w:tblStyleColBandSize w:val="1"/>
      <w:tblCellMar>
        <w:top w:w="100.0" w:type="dxa"/>
        <w:left w:w="100.0" w:type="dxa"/>
        <w:bottom w:w="100.0" w:type="dxa"/>
        <w:right w:w="100.0" w:type="dxa"/>
      </w:tblCellMar>
    </w:tblPr>
  </w:style>
  <w:style w:type="table" w:styleId="Table479">
    <w:basedOn w:val="TableNormal"/>
    <w:tblPr>
      <w:tblStyleRowBandSize w:val="1"/>
      <w:tblStyleColBandSize w:val="1"/>
      <w:tblCellMar>
        <w:top w:w="100.0" w:type="dxa"/>
        <w:left w:w="100.0" w:type="dxa"/>
        <w:bottom w:w="100.0" w:type="dxa"/>
        <w:right w:w="100.0" w:type="dxa"/>
      </w:tblCellMar>
    </w:tblPr>
  </w:style>
  <w:style w:type="table" w:styleId="Table480">
    <w:basedOn w:val="TableNormal"/>
    <w:tblPr>
      <w:tblStyleRowBandSize w:val="1"/>
      <w:tblStyleColBandSize w:val="1"/>
      <w:tblCellMar>
        <w:top w:w="100.0" w:type="dxa"/>
        <w:left w:w="100.0" w:type="dxa"/>
        <w:bottom w:w="100.0" w:type="dxa"/>
        <w:right w:w="100.0" w:type="dxa"/>
      </w:tblCellMar>
    </w:tblPr>
  </w:style>
  <w:style w:type="table" w:styleId="Table481">
    <w:basedOn w:val="TableNormal"/>
    <w:tblPr>
      <w:tblStyleRowBandSize w:val="1"/>
      <w:tblStyleColBandSize w:val="1"/>
      <w:tblCellMar>
        <w:top w:w="100.0" w:type="dxa"/>
        <w:left w:w="100.0" w:type="dxa"/>
        <w:bottom w:w="100.0" w:type="dxa"/>
        <w:right w:w="100.0" w:type="dxa"/>
      </w:tblCellMar>
    </w:tblPr>
  </w:style>
  <w:style w:type="table" w:styleId="Table482">
    <w:basedOn w:val="TableNormal"/>
    <w:tblPr>
      <w:tblStyleRowBandSize w:val="1"/>
      <w:tblStyleColBandSize w:val="1"/>
      <w:tblCellMar>
        <w:top w:w="100.0" w:type="dxa"/>
        <w:left w:w="100.0" w:type="dxa"/>
        <w:bottom w:w="100.0" w:type="dxa"/>
        <w:right w:w="100.0" w:type="dxa"/>
      </w:tblCellMar>
    </w:tblPr>
  </w:style>
  <w:style w:type="table" w:styleId="Table483">
    <w:basedOn w:val="TableNormal"/>
    <w:tblPr>
      <w:tblStyleRowBandSize w:val="1"/>
      <w:tblStyleColBandSize w:val="1"/>
      <w:tblCellMar>
        <w:top w:w="100.0" w:type="dxa"/>
        <w:left w:w="100.0" w:type="dxa"/>
        <w:bottom w:w="100.0" w:type="dxa"/>
        <w:right w:w="100.0" w:type="dxa"/>
      </w:tblCellMar>
    </w:tblPr>
  </w:style>
  <w:style w:type="table" w:styleId="Table484">
    <w:basedOn w:val="TableNormal"/>
    <w:tblPr>
      <w:tblStyleRowBandSize w:val="1"/>
      <w:tblStyleColBandSize w:val="1"/>
      <w:tblCellMar>
        <w:top w:w="100.0" w:type="dxa"/>
        <w:left w:w="100.0" w:type="dxa"/>
        <w:bottom w:w="100.0" w:type="dxa"/>
        <w:right w:w="100.0" w:type="dxa"/>
      </w:tblCellMar>
    </w:tblPr>
  </w:style>
  <w:style w:type="table" w:styleId="Table485">
    <w:basedOn w:val="TableNormal"/>
    <w:tblPr>
      <w:tblStyleRowBandSize w:val="1"/>
      <w:tblStyleColBandSize w:val="1"/>
      <w:tblCellMar>
        <w:top w:w="100.0" w:type="dxa"/>
        <w:left w:w="100.0" w:type="dxa"/>
        <w:bottom w:w="100.0" w:type="dxa"/>
        <w:right w:w="100.0" w:type="dxa"/>
      </w:tblCellMar>
    </w:tblPr>
  </w:style>
  <w:style w:type="table" w:styleId="Table486">
    <w:basedOn w:val="TableNormal"/>
    <w:tblPr>
      <w:tblStyleRowBandSize w:val="1"/>
      <w:tblStyleColBandSize w:val="1"/>
      <w:tblCellMar>
        <w:top w:w="100.0" w:type="dxa"/>
        <w:left w:w="100.0" w:type="dxa"/>
        <w:bottom w:w="100.0" w:type="dxa"/>
        <w:right w:w="100.0" w:type="dxa"/>
      </w:tblCellMar>
    </w:tblPr>
  </w:style>
  <w:style w:type="table" w:styleId="Table487">
    <w:basedOn w:val="TableNormal"/>
    <w:tblPr>
      <w:tblStyleRowBandSize w:val="1"/>
      <w:tblStyleColBandSize w:val="1"/>
      <w:tblCellMar>
        <w:top w:w="100.0" w:type="dxa"/>
        <w:left w:w="100.0" w:type="dxa"/>
        <w:bottom w:w="100.0" w:type="dxa"/>
        <w:right w:w="100.0" w:type="dxa"/>
      </w:tblCellMar>
    </w:tblPr>
  </w:style>
  <w:style w:type="table" w:styleId="Table488">
    <w:basedOn w:val="TableNormal"/>
    <w:tblPr>
      <w:tblStyleRowBandSize w:val="1"/>
      <w:tblStyleColBandSize w:val="1"/>
      <w:tblCellMar>
        <w:top w:w="100.0" w:type="dxa"/>
        <w:left w:w="100.0" w:type="dxa"/>
        <w:bottom w:w="100.0" w:type="dxa"/>
        <w:right w:w="100.0" w:type="dxa"/>
      </w:tblCellMar>
    </w:tblPr>
  </w:style>
  <w:style w:type="table" w:styleId="Table489">
    <w:basedOn w:val="TableNormal"/>
    <w:tblPr>
      <w:tblStyleRowBandSize w:val="1"/>
      <w:tblStyleColBandSize w:val="1"/>
      <w:tblCellMar>
        <w:top w:w="100.0" w:type="dxa"/>
        <w:left w:w="100.0" w:type="dxa"/>
        <w:bottom w:w="100.0" w:type="dxa"/>
        <w:right w:w="100.0" w:type="dxa"/>
      </w:tblCellMar>
    </w:tblPr>
  </w:style>
  <w:style w:type="table" w:styleId="Table490">
    <w:basedOn w:val="TableNormal"/>
    <w:tblPr>
      <w:tblStyleRowBandSize w:val="1"/>
      <w:tblStyleColBandSize w:val="1"/>
      <w:tblCellMar>
        <w:top w:w="100.0" w:type="dxa"/>
        <w:left w:w="100.0" w:type="dxa"/>
        <w:bottom w:w="100.0" w:type="dxa"/>
        <w:right w:w="100.0" w:type="dxa"/>
      </w:tblCellMar>
    </w:tblPr>
  </w:style>
  <w:style w:type="table" w:styleId="Table491">
    <w:basedOn w:val="TableNormal"/>
    <w:tblPr>
      <w:tblStyleRowBandSize w:val="1"/>
      <w:tblStyleColBandSize w:val="1"/>
      <w:tblCellMar>
        <w:top w:w="100.0" w:type="dxa"/>
        <w:left w:w="100.0" w:type="dxa"/>
        <w:bottom w:w="100.0" w:type="dxa"/>
        <w:right w:w="100.0" w:type="dxa"/>
      </w:tblCellMar>
    </w:tblPr>
  </w:style>
  <w:style w:type="table" w:styleId="Table492">
    <w:basedOn w:val="TableNormal"/>
    <w:tblPr>
      <w:tblStyleRowBandSize w:val="1"/>
      <w:tblStyleColBandSize w:val="1"/>
      <w:tblCellMar>
        <w:top w:w="100.0" w:type="dxa"/>
        <w:left w:w="100.0" w:type="dxa"/>
        <w:bottom w:w="100.0" w:type="dxa"/>
        <w:right w:w="100.0" w:type="dxa"/>
      </w:tblCellMar>
    </w:tblPr>
  </w:style>
  <w:style w:type="table" w:styleId="Table493">
    <w:basedOn w:val="TableNormal"/>
    <w:tblPr>
      <w:tblStyleRowBandSize w:val="1"/>
      <w:tblStyleColBandSize w:val="1"/>
      <w:tblCellMar>
        <w:top w:w="100.0" w:type="dxa"/>
        <w:left w:w="100.0" w:type="dxa"/>
        <w:bottom w:w="100.0" w:type="dxa"/>
        <w:right w:w="100.0" w:type="dxa"/>
      </w:tblCellMar>
    </w:tblPr>
  </w:style>
  <w:style w:type="table" w:styleId="Table494">
    <w:basedOn w:val="TableNormal"/>
    <w:tblPr>
      <w:tblStyleRowBandSize w:val="1"/>
      <w:tblStyleColBandSize w:val="1"/>
      <w:tblCellMar>
        <w:top w:w="100.0" w:type="dxa"/>
        <w:left w:w="100.0" w:type="dxa"/>
        <w:bottom w:w="100.0" w:type="dxa"/>
        <w:right w:w="100.0" w:type="dxa"/>
      </w:tblCellMar>
    </w:tblPr>
  </w:style>
  <w:style w:type="table" w:styleId="Table495">
    <w:basedOn w:val="TableNormal"/>
    <w:tblPr>
      <w:tblStyleRowBandSize w:val="1"/>
      <w:tblStyleColBandSize w:val="1"/>
      <w:tblCellMar>
        <w:top w:w="100.0" w:type="dxa"/>
        <w:left w:w="100.0" w:type="dxa"/>
        <w:bottom w:w="100.0" w:type="dxa"/>
        <w:right w:w="100.0" w:type="dxa"/>
      </w:tblCellMar>
    </w:tblPr>
  </w:style>
  <w:style w:type="table" w:styleId="Table496">
    <w:basedOn w:val="TableNormal"/>
    <w:tblPr>
      <w:tblStyleRowBandSize w:val="1"/>
      <w:tblStyleColBandSize w:val="1"/>
      <w:tblCellMar>
        <w:top w:w="100.0" w:type="dxa"/>
        <w:left w:w="100.0" w:type="dxa"/>
        <w:bottom w:w="100.0" w:type="dxa"/>
        <w:right w:w="100.0" w:type="dxa"/>
      </w:tblCellMar>
    </w:tblPr>
  </w:style>
  <w:style w:type="table" w:styleId="Table497">
    <w:basedOn w:val="TableNormal"/>
    <w:tblPr>
      <w:tblStyleRowBandSize w:val="1"/>
      <w:tblStyleColBandSize w:val="1"/>
      <w:tblCellMar>
        <w:top w:w="100.0" w:type="dxa"/>
        <w:left w:w="100.0" w:type="dxa"/>
        <w:bottom w:w="100.0" w:type="dxa"/>
        <w:right w:w="100.0" w:type="dxa"/>
      </w:tblCellMar>
    </w:tblPr>
  </w:style>
  <w:style w:type="table" w:styleId="Table498">
    <w:basedOn w:val="TableNormal"/>
    <w:tblPr>
      <w:tblStyleRowBandSize w:val="1"/>
      <w:tblStyleColBandSize w:val="1"/>
      <w:tblCellMar>
        <w:top w:w="100.0" w:type="dxa"/>
        <w:left w:w="100.0" w:type="dxa"/>
        <w:bottom w:w="100.0" w:type="dxa"/>
        <w:right w:w="100.0" w:type="dxa"/>
      </w:tblCellMar>
    </w:tblPr>
  </w:style>
  <w:style w:type="table" w:styleId="Table499">
    <w:basedOn w:val="TableNormal"/>
    <w:tblPr>
      <w:tblStyleRowBandSize w:val="1"/>
      <w:tblStyleColBandSize w:val="1"/>
      <w:tblCellMar>
        <w:top w:w="100.0" w:type="dxa"/>
        <w:left w:w="100.0" w:type="dxa"/>
        <w:bottom w:w="100.0" w:type="dxa"/>
        <w:right w:w="100.0" w:type="dxa"/>
      </w:tblCellMar>
    </w:tblPr>
  </w:style>
  <w:style w:type="table" w:styleId="Table500">
    <w:basedOn w:val="TableNormal"/>
    <w:tblPr>
      <w:tblStyleRowBandSize w:val="1"/>
      <w:tblStyleColBandSize w:val="1"/>
      <w:tblCellMar>
        <w:top w:w="100.0" w:type="dxa"/>
        <w:left w:w="100.0" w:type="dxa"/>
        <w:bottom w:w="100.0" w:type="dxa"/>
        <w:right w:w="100.0" w:type="dxa"/>
      </w:tblCellMar>
    </w:tblPr>
  </w:style>
  <w:style w:type="table" w:styleId="Table501">
    <w:basedOn w:val="TableNormal"/>
    <w:tblPr>
      <w:tblStyleRowBandSize w:val="1"/>
      <w:tblStyleColBandSize w:val="1"/>
      <w:tblCellMar>
        <w:top w:w="100.0" w:type="dxa"/>
        <w:left w:w="100.0" w:type="dxa"/>
        <w:bottom w:w="100.0" w:type="dxa"/>
        <w:right w:w="100.0" w:type="dxa"/>
      </w:tblCellMar>
    </w:tblPr>
  </w:style>
  <w:style w:type="table" w:styleId="Table502">
    <w:basedOn w:val="TableNormal"/>
    <w:tblPr>
      <w:tblStyleRowBandSize w:val="1"/>
      <w:tblStyleColBandSize w:val="1"/>
      <w:tblCellMar>
        <w:top w:w="100.0" w:type="dxa"/>
        <w:left w:w="100.0" w:type="dxa"/>
        <w:bottom w:w="100.0" w:type="dxa"/>
        <w:right w:w="100.0" w:type="dxa"/>
      </w:tblCellMar>
    </w:tblPr>
  </w:style>
  <w:style w:type="table" w:styleId="Table503">
    <w:basedOn w:val="TableNormal"/>
    <w:tblPr>
      <w:tblStyleRowBandSize w:val="1"/>
      <w:tblStyleColBandSize w:val="1"/>
      <w:tblCellMar>
        <w:top w:w="100.0" w:type="dxa"/>
        <w:left w:w="100.0" w:type="dxa"/>
        <w:bottom w:w="100.0" w:type="dxa"/>
        <w:right w:w="100.0" w:type="dxa"/>
      </w:tblCellMar>
    </w:tblPr>
  </w:style>
  <w:style w:type="table" w:styleId="Table504">
    <w:basedOn w:val="TableNormal"/>
    <w:tblPr>
      <w:tblStyleRowBandSize w:val="1"/>
      <w:tblStyleColBandSize w:val="1"/>
      <w:tblCellMar>
        <w:top w:w="100.0" w:type="dxa"/>
        <w:left w:w="100.0" w:type="dxa"/>
        <w:bottom w:w="100.0" w:type="dxa"/>
        <w:right w:w="100.0" w:type="dxa"/>
      </w:tblCellMar>
    </w:tblPr>
  </w:style>
  <w:style w:type="table" w:styleId="Table505">
    <w:basedOn w:val="TableNormal"/>
    <w:tblPr>
      <w:tblStyleRowBandSize w:val="1"/>
      <w:tblStyleColBandSize w:val="1"/>
      <w:tblCellMar>
        <w:top w:w="100.0" w:type="dxa"/>
        <w:left w:w="100.0" w:type="dxa"/>
        <w:bottom w:w="100.0" w:type="dxa"/>
        <w:right w:w="100.0" w:type="dxa"/>
      </w:tblCellMar>
    </w:tblPr>
  </w:style>
  <w:style w:type="table" w:styleId="Table506">
    <w:basedOn w:val="TableNormal"/>
    <w:tblPr>
      <w:tblStyleRowBandSize w:val="1"/>
      <w:tblStyleColBandSize w:val="1"/>
      <w:tblCellMar>
        <w:top w:w="100.0" w:type="dxa"/>
        <w:left w:w="100.0" w:type="dxa"/>
        <w:bottom w:w="100.0" w:type="dxa"/>
        <w:right w:w="100.0" w:type="dxa"/>
      </w:tblCellMar>
    </w:tblPr>
  </w:style>
  <w:style w:type="table" w:styleId="Table507">
    <w:basedOn w:val="TableNormal"/>
    <w:tblPr>
      <w:tblStyleRowBandSize w:val="1"/>
      <w:tblStyleColBandSize w:val="1"/>
      <w:tblCellMar>
        <w:top w:w="100.0" w:type="dxa"/>
        <w:left w:w="100.0" w:type="dxa"/>
        <w:bottom w:w="100.0" w:type="dxa"/>
        <w:right w:w="100.0" w:type="dxa"/>
      </w:tblCellMar>
    </w:tblPr>
  </w:style>
  <w:style w:type="table" w:styleId="Table508">
    <w:basedOn w:val="TableNormal"/>
    <w:tblPr>
      <w:tblStyleRowBandSize w:val="1"/>
      <w:tblStyleColBandSize w:val="1"/>
      <w:tblCellMar>
        <w:top w:w="100.0" w:type="dxa"/>
        <w:left w:w="100.0" w:type="dxa"/>
        <w:bottom w:w="100.0" w:type="dxa"/>
        <w:right w:w="100.0" w:type="dxa"/>
      </w:tblCellMar>
    </w:tblPr>
  </w:style>
  <w:style w:type="table" w:styleId="Table509">
    <w:basedOn w:val="TableNormal"/>
    <w:tblPr>
      <w:tblStyleRowBandSize w:val="1"/>
      <w:tblStyleColBandSize w:val="1"/>
      <w:tblCellMar>
        <w:top w:w="100.0" w:type="dxa"/>
        <w:left w:w="100.0" w:type="dxa"/>
        <w:bottom w:w="100.0" w:type="dxa"/>
        <w:right w:w="100.0" w:type="dxa"/>
      </w:tblCellMar>
    </w:tblPr>
  </w:style>
  <w:style w:type="table" w:styleId="Table510">
    <w:basedOn w:val="TableNormal"/>
    <w:tblPr>
      <w:tblStyleRowBandSize w:val="1"/>
      <w:tblStyleColBandSize w:val="1"/>
      <w:tblCellMar>
        <w:top w:w="100.0" w:type="dxa"/>
        <w:left w:w="100.0" w:type="dxa"/>
        <w:bottom w:w="100.0" w:type="dxa"/>
        <w:right w:w="100.0" w:type="dxa"/>
      </w:tblCellMar>
    </w:tblPr>
  </w:style>
  <w:style w:type="table" w:styleId="Table511">
    <w:basedOn w:val="TableNormal"/>
    <w:tblPr>
      <w:tblStyleRowBandSize w:val="1"/>
      <w:tblStyleColBandSize w:val="1"/>
      <w:tblCellMar>
        <w:top w:w="100.0" w:type="dxa"/>
        <w:left w:w="100.0" w:type="dxa"/>
        <w:bottom w:w="100.0" w:type="dxa"/>
        <w:right w:w="100.0" w:type="dxa"/>
      </w:tblCellMar>
    </w:tblPr>
  </w:style>
  <w:style w:type="table" w:styleId="Table512">
    <w:basedOn w:val="TableNormal"/>
    <w:tblPr>
      <w:tblStyleRowBandSize w:val="1"/>
      <w:tblStyleColBandSize w:val="1"/>
      <w:tblCellMar>
        <w:top w:w="100.0" w:type="dxa"/>
        <w:left w:w="100.0" w:type="dxa"/>
        <w:bottom w:w="100.0" w:type="dxa"/>
        <w:right w:w="100.0" w:type="dxa"/>
      </w:tblCellMar>
    </w:tblPr>
  </w:style>
  <w:style w:type="table" w:styleId="Table513">
    <w:basedOn w:val="TableNormal"/>
    <w:tblPr>
      <w:tblStyleRowBandSize w:val="1"/>
      <w:tblStyleColBandSize w:val="1"/>
      <w:tblCellMar>
        <w:top w:w="100.0" w:type="dxa"/>
        <w:left w:w="100.0" w:type="dxa"/>
        <w:bottom w:w="100.0" w:type="dxa"/>
        <w:right w:w="100.0" w:type="dxa"/>
      </w:tblCellMar>
    </w:tblPr>
  </w:style>
  <w:style w:type="table" w:styleId="Table514">
    <w:basedOn w:val="TableNormal"/>
    <w:tblPr>
      <w:tblStyleRowBandSize w:val="1"/>
      <w:tblStyleColBandSize w:val="1"/>
      <w:tblCellMar>
        <w:top w:w="100.0" w:type="dxa"/>
        <w:left w:w="100.0" w:type="dxa"/>
        <w:bottom w:w="100.0" w:type="dxa"/>
        <w:right w:w="100.0" w:type="dxa"/>
      </w:tblCellMar>
    </w:tblPr>
  </w:style>
  <w:style w:type="table" w:styleId="Table515">
    <w:basedOn w:val="TableNormal"/>
    <w:tblPr>
      <w:tblStyleRowBandSize w:val="1"/>
      <w:tblStyleColBandSize w:val="1"/>
      <w:tblCellMar>
        <w:top w:w="100.0" w:type="dxa"/>
        <w:left w:w="100.0" w:type="dxa"/>
        <w:bottom w:w="100.0" w:type="dxa"/>
        <w:right w:w="100.0" w:type="dxa"/>
      </w:tblCellMar>
    </w:tblPr>
  </w:style>
  <w:style w:type="table" w:styleId="Table516">
    <w:basedOn w:val="TableNormal"/>
    <w:tblPr>
      <w:tblStyleRowBandSize w:val="1"/>
      <w:tblStyleColBandSize w:val="1"/>
      <w:tblCellMar>
        <w:top w:w="100.0" w:type="dxa"/>
        <w:left w:w="100.0" w:type="dxa"/>
        <w:bottom w:w="100.0" w:type="dxa"/>
        <w:right w:w="100.0" w:type="dxa"/>
      </w:tblCellMar>
    </w:tblPr>
  </w:style>
  <w:style w:type="table" w:styleId="Table517">
    <w:basedOn w:val="TableNormal"/>
    <w:tblPr>
      <w:tblStyleRowBandSize w:val="1"/>
      <w:tblStyleColBandSize w:val="1"/>
      <w:tblCellMar>
        <w:top w:w="100.0" w:type="dxa"/>
        <w:left w:w="100.0" w:type="dxa"/>
        <w:bottom w:w="100.0" w:type="dxa"/>
        <w:right w:w="100.0" w:type="dxa"/>
      </w:tblCellMar>
    </w:tblPr>
  </w:style>
  <w:style w:type="table" w:styleId="Table518">
    <w:basedOn w:val="TableNormal"/>
    <w:tblPr>
      <w:tblStyleRowBandSize w:val="1"/>
      <w:tblStyleColBandSize w:val="1"/>
      <w:tblCellMar>
        <w:top w:w="100.0" w:type="dxa"/>
        <w:left w:w="100.0" w:type="dxa"/>
        <w:bottom w:w="100.0" w:type="dxa"/>
        <w:right w:w="100.0" w:type="dxa"/>
      </w:tblCellMar>
    </w:tblPr>
  </w:style>
  <w:style w:type="table" w:styleId="Table519">
    <w:basedOn w:val="TableNormal"/>
    <w:tblPr>
      <w:tblStyleRowBandSize w:val="1"/>
      <w:tblStyleColBandSize w:val="1"/>
      <w:tblCellMar>
        <w:top w:w="100.0" w:type="dxa"/>
        <w:left w:w="100.0" w:type="dxa"/>
        <w:bottom w:w="100.0" w:type="dxa"/>
        <w:right w:w="100.0" w:type="dxa"/>
      </w:tblCellMar>
    </w:tblPr>
  </w:style>
  <w:style w:type="table" w:styleId="Table520">
    <w:basedOn w:val="TableNormal"/>
    <w:tblPr>
      <w:tblStyleRowBandSize w:val="1"/>
      <w:tblStyleColBandSize w:val="1"/>
      <w:tblCellMar>
        <w:top w:w="100.0" w:type="dxa"/>
        <w:left w:w="100.0" w:type="dxa"/>
        <w:bottom w:w="100.0" w:type="dxa"/>
        <w:right w:w="100.0" w:type="dxa"/>
      </w:tblCellMar>
    </w:tblPr>
  </w:style>
  <w:style w:type="table" w:styleId="Table521">
    <w:basedOn w:val="TableNormal"/>
    <w:tblPr>
      <w:tblStyleRowBandSize w:val="1"/>
      <w:tblStyleColBandSize w:val="1"/>
      <w:tblCellMar>
        <w:top w:w="100.0" w:type="dxa"/>
        <w:left w:w="100.0" w:type="dxa"/>
        <w:bottom w:w="100.0" w:type="dxa"/>
        <w:right w:w="100.0" w:type="dxa"/>
      </w:tblCellMar>
    </w:tblPr>
  </w:style>
  <w:style w:type="table" w:styleId="Table522">
    <w:basedOn w:val="TableNormal"/>
    <w:tblPr>
      <w:tblStyleRowBandSize w:val="1"/>
      <w:tblStyleColBandSize w:val="1"/>
      <w:tblCellMar>
        <w:top w:w="100.0" w:type="dxa"/>
        <w:left w:w="100.0" w:type="dxa"/>
        <w:bottom w:w="100.0" w:type="dxa"/>
        <w:right w:w="100.0" w:type="dxa"/>
      </w:tblCellMar>
    </w:tblPr>
  </w:style>
  <w:style w:type="table" w:styleId="Table523">
    <w:basedOn w:val="TableNormal"/>
    <w:tblPr>
      <w:tblStyleRowBandSize w:val="1"/>
      <w:tblStyleColBandSize w:val="1"/>
      <w:tblCellMar>
        <w:top w:w="100.0" w:type="dxa"/>
        <w:left w:w="100.0" w:type="dxa"/>
        <w:bottom w:w="100.0" w:type="dxa"/>
        <w:right w:w="100.0" w:type="dxa"/>
      </w:tblCellMar>
    </w:tblPr>
  </w:style>
  <w:style w:type="table" w:styleId="Table524">
    <w:basedOn w:val="TableNormal"/>
    <w:tblPr>
      <w:tblStyleRowBandSize w:val="1"/>
      <w:tblStyleColBandSize w:val="1"/>
      <w:tblCellMar>
        <w:top w:w="100.0" w:type="dxa"/>
        <w:left w:w="100.0" w:type="dxa"/>
        <w:bottom w:w="100.0" w:type="dxa"/>
        <w:right w:w="100.0" w:type="dxa"/>
      </w:tblCellMar>
    </w:tblPr>
  </w:style>
  <w:style w:type="table" w:styleId="Table525">
    <w:basedOn w:val="TableNormal"/>
    <w:tblPr>
      <w:tblStyleRowBandSize w:val="1"/>
      <w:tblStyleColBandSize w:val="1"/>
      <w:tblCellMar>
        <w:top w:w="100.0" w:type="dxa"/>
        <w:left w:w="100.0" w:type="dxa"/>
        <w:bottom w:w="100.0" w:type="dxa"/>
        <w:right w:w="100.0" w:type="dxa"/>
      </w:tblCellMar>
    </w:tblPr>
  </w:style>
  <w:style w:type="table" w:styleId="Table526">
    <w:basedOn w:val="TableNormal"/>
    <w:tblPr>
      <w:tblStyleRowBandSize w:val="1"/>
      <w:tblStyleColBandSize w:val="1"/>
      <w:tblCellMar>
        <w:top w:w="100.0" w:type="dxa"/>
        <w:left w:w="100.0" w:type="dxa"/>
        <w:bottom w:w="100.0" w:type="dxa"/>
        <w:right w:w="100.0" w:type="dxa"/>
      </w:tblCellMar>
    </w:tblPr>
  </w:style>
  <w:style w:type="table" w:styleId="Table527">
    <w:basedOn w:val="TableNormal"/>
    <w:tblPr>
      <w:tblStyleRowBandSize w:val="1"/>
      <w:tblStyleColBandSize w:val="1"/>
      <w:tblCellMar>
        <w:top w:w="100.0" w:type="dxa"/>
        <w:left w:w="100.0" w:type="dxa"/>
        <w:bottom w:w="100.0" w:type="dxa"/>
        <w:right w:w="100.0" w:type="dxa"/>
      </w:tblCellMar>
    </w:tblPr>
  </w:style>
  <w:style w:type="table" w:styleId="Table528">
    <w:basedOn w:val="TableNormal"/>
    <w:tblPr>
      <w:tblStyleRowBandSize w:val="1"/>
      <w:tblStyleColBandSize w:val="1"/>
      <w:tblCellMar>
        <w:top w:w="100.0" w:type="dxa"/>
        <w:left w:w="100.0" w:type="dxa"/>
        <w:bottom w:w="100.0" w:type="dxa"/>
        <w:right w:w="100.0" w:type="dxa"/>
      </w:tblCellMar>
    </w:tblPr>
  </w:style>
  <w:style w:type="table" w:styleId="Table529">
    <w:basedOn w:val="TableNormal"/>
    <w:tblPr>
      <w:tblStyleRowBandSize w:val="1"/>
      <w:tblStyleColBandSize w:val="1"/>
      <w:tblCellMar>
        <w:top w:w="100.0" w:type="dxa"/>
        <w:left w:w="100.0" w:type="dxa"/>
        <w:bottom w:w="100.0" w:type="dxa"/>
        <w:right w:w="100.0" w:type="dxa"/>
      </w:tblCellMar>
    </w:tblPr>
  </w:style>
  <w:style w:type="table" w:styleId="Table530">
    <w:basedOn w:val="TableNormal"/>
    <w:tblPr>
      <w:tblStyleRowBandSize w:val="1"/>
      <w:tblStyleColBandSize w:val="1"/>
      <w:tblCellMar>
        <w:top w:w="100.0" w:type="dxa"/>
        <w:left w:w="100.0" w:type="dxa"/>
        <w:bottom w:w="100.0" w:type="dxa"/>
        <w:right w:w="100.0" w:type="dxa"/>
      </w:tblCellMar>
    </w:tblPr>
  </w:style>
  <w:style w:type="table" w:styleId="Table531">
    <w:basedOn w:val="TableNormal"/>
    <w:tblPr>
      <w:tblStyleRowBandSize w:val="1"/>
      <w:tblStyleColBandSize w:val="1"/>
      <w:tblCellMar>
        <w:top w:w="100.0" w:type="dxa"/>
        <w:left w:w="100.0" w:type="dxa"/>
        <w:bottom w:w="100.0" w:type="dxa"/>
        <w:right w:w="100.0" w:type="dxa"/>
      </w:tblCellMar>
    </w:tblPr>
  </w:style>
  <w:style w:type="table" w:styleId="Table532">
    <w:basedOn w:val="TableNormal"/>
    <w:tblPr>
      <w:tblStyleRowBandSize w:val="1"/>
      <w:tblStyleColBandSize w:val="1"/>
      <w:tblCellMar>
        <w:top w:w="100.0" w:type="dxa"/>
        <w:left w:w="100.0" w:type="dxa"/>
        <w:bottom w:w="100.0" w:type="dxa"/>
        <w:right w:w="100.0" w:type="dxa"/>
      </w:tblCellMar>
    </w:tblPr>
  </w:style>
  <w:style w:type="table" w:styleId="Table533">
    <w:basedOn w:val="TableNormal"/>
    <w:tblPr>
      <w:tblStyleRowBandSize w:val="1"/>
      <w:tblStyleColBandSize w:val="1"/>
      <w:tblCellMar>
        <w:top w:w="100.0" w:type="dxa"/>
        <w:left w:w="100.0" w:type="dxa"/>
        <w:bottom w:w="100.0" w:type="dxa"/>
        <w:right w:w="100.0" w:type="dxa"/>
      </w:tblCellMar>
    </w:tblPr>
  </w:style>
  <w:style w:type="table" w:styleId="Table534">
    <w:basedOn w:val="TableNormal"/>
    <w:tblPr>
      <w:tblStyleRowBandSize w:val="1"/>
      <w:tblStyleColBandSize w:val="1"/>
      <w:tblCellMar>
        <w:top w:w="100.0" w:type="dxa"/>
        <w:left w:w="100.0" w:type="dxa"/>
        <w:bottom w:w="100.0" w:type="dxa"/>
        <w:right w:w="100.0" w:type="dxa"/>
      </w:tblCellMar>
    </w:tblPr>
  </w:style>
  <w:style w:type="table" w:styleId="Table535">
    <w:basedOn w:val="TableNormal"/>
    <w:tblPr>
      <w:tblStyleRowBandSize w:val="1"/>
      <w:tblStyleColBandSize w:val="1"/>
      <w:tblCellMar>
        <w:top w:w="100.0" w:type="dxa"/>
        <w:left w:w="100.0" w:type="dxa"/>
        <w:bottom w:w="100.0" w:type="dxa"/>
        <w:right w:w="100.0" w:type="dxa"/>
      </w:tblCellMar>
    </w:tblPr>
  </w:style>
  <w:style w:type="table" w:styleId="Table536">
    <w:basedOn w:val="TableNormal"/>
    <w:tblPr>
      <w:tblStyleRowBandSize w:val="1"/>
      <w:tblStyleColBandSize w:val="1"/>
      <w:tblCellMar>
        <w:top w:w="100.0" w:type="dxa"/>
        <w:left w:w="100.0" w:type="dxa"/>
        <w:bottom w:w="100.0" w:type="dxa"/>
        <w:right w:w="100.0" w:type="dxa"/>
      </w:tblCellMar>
    </w:tblPr>
  </w:style>
  <w:style w:type="table" w:styleId="Table537">
    <w:basedOn w:val="TableNormal"/>
    <w:tblPr>
      <w:tblStyleRowBandSize w:val="1"/>
      <w:tblStyleColBandSize w:val="1"/>
      <w:tblCellMar>
        <w:top w:w="100.0" w:type="dxa"/>
        <w:left w:w="100.0" w:type="dxa"/>
        <w:bottom w:w="100.0" w:type="dxa"/>
        <w:right w:w="100.0" w:type="dxa"/>
      </w:tblCellMar>
    </w:tblPr>
  </w:style>
  <w:style w:type="table" w:styleId="Table538">
    <w:basedOn w:val="TableNormal"/>
    <w:tblPr>
      <w:tblStyleRowBandSize w:val="1"/>
      <w:tblStyleColBandSize w:val="1"/>
      <w:tblCellMar>
        <w:top w:w="100.0" w:type="dxa"/>
        <w:left w:w="100.0" w:type="dxa"/>
        <w:bottom w:w="100.0" w:type="dxa"/>
        <w:right w:w="100.0" w:type="dxa"/>
      </w:tblCellMar>
    </w:tblPr>
  </w:style>
  <w:style w:type="table" w:styleId="Table539">
    <w:basedOn w:val="TableNormal"/>
    <w:tblPr>
      <w:tblStyleRowBandSize w:val="1"/>
      <w:tblStyleColBandSize w:val="1"/>
      <w:tblCellMar>
        <w:top w:w="100.0" w:type="dxa"/>
        <w:left w:w="100.0" w:type="dxa"/>
        <w:bottom w:w="100.0" w:type="dxa"/>
        <w:right w:w="100.0" w:type="dxa"/>
      </w:tblCellMar>
    </w:tblPr>
  </w:style>
  <w:style w:type="table" w:styleId="Table540">
    <w:basedOn w:val="TableNormal"/>
    <w:tblPr>
      <w:tblStyleRowBandSize w:val="1"/>
      <w:tblStyleColBandSize w:val="1"/>
      <w:tblCellMar>
        <w:top w:w="100.0" w:type="dxa"/>
        <w:left w:w="100.0" w:type="dxa"/>
        <w:bottom w:w="100.0" w:type="dxa"/>
        <w:right w:w="100.0" w:type="dxa"/>
      </w:tblCellMar>
    </w:tblPr>
  </w:style>
  <w:style w:type="table" w:styleId="Table541">
    <w:basedOn w:val="TableNormal"/>
    <w:tblPr>
      <w:tblStyleRowBandSize w:val="1"/>
      <w:tblStyleColBandSize w:val="1"/>
      <w:tblCellMar>
        <w:top w:w="100.0" w:type="dxa"/>
        <w:left w:w="100.0" w:type="dxa"/>
        <w:bottom w:w="100.0" w:type="dxa"/>
        <w:right w:w="100.0" w:type="dxa"/>
      </w:tblCellMar>
    </w:tblPr>
  </w:style>
  <w:style w:type="table" w:styleId="Table542">
    <w:basedOn w:val="TableNormal"/>
    <w:tblPr>
      <w:tblStyleRowBandSize w:val="1"/>
      <w:tblStyleColBandSize w:val="1"/>
      <w:tblCellMar>
        <w:top w:w="100.0" w:type="dxa"/>
        <w:left w:w="100.0" w:type="dxa"/>
        <w:bottom w:w="100.0" w:type="dxa"/>
        <w:right w:w="100.0" w:type="dxa"/>
      </w:tblCellMar>
    </w:tblPr>
  </w:style>
  <w:style w:type="table" w:styleId="Table543">
    <w:basedOn w:val="TableNormal"/>
    <w:tblPr>
      <w:tblStyleRowBandSize w:val="1"/>
      <w:tblStyleColBandSize w:val="1"/>
      <w:tblCellMar>
        <w:top w:w="100.0" w:type="dxa"/>
        <w:left w:w="100.0" w:type="dxa"/>
        <w:bottom w:w="100.0" w:type="dxa"/>
        <w:right w:w="100.0" w:type="dxa"/>
      </w:tblCellMar>
    </w:tblPr>
  </w:style>
  <w:style w:type="table" w:styleId="Table544">
    <w:basedOn w:val="TableNormal"/>
    <w:tblPr>
      <w:tblStyleRowBandSize w:val="1"/>
      <w:tblStyleColBandSize w:val="1"/>
      <w:tblCellMar>
        <w:top w:w="100.0" w:type="dxa"/>
        <w:left w:w="100.0" w:type="dxa"/>
        <w:bottom w:w="100.0" w:type="dxa"/>
        <w:right w:w="100.0" w:type="dxa"/>
      </w:tblCellMar>
    </w:tblPr>
  </w:style>
  <w:style w:type="table" w:styleId="Table545">
    <w:basedOn w:val="TableNormal"/>
    <w:tblPr>
      <w:tblStyleRowBandSize w:val="1"/>
      <w:tblStyleColBandSize w:val="1"/>
      <w:tblCellMar>
        <w:top w:w="100.0" w:type="dxa"/>
        <w:left w:w="100.0" w:type="dxa"/>
        <w:bottom w:w="100.0" w:type="dxa"/>
        <w:right w:w="100.0" w:type="dxa"/>
      </w:tblCellMar>
    </w:tblPr>
  </w:style>
  <w:style w:type="table" w:styleId="Table546">
    <w:basedOn w:val="TableNormal"/>
    <w:tblPr>
      <w:tblStyleRowBandSize w:val="1"/>
      <w:tblStyleColBandSize w:val="1"/>
      <w:tblCellMar>
        <w:top w:w="100.0" w:type="dxa"/>
        <w:left w:w="100.0" w:type="dxa"/>
        <w:bottom w:w="100.0" w:type="dxa"/>
        <w:right w:w="100.0" w:type="dxa"/>
      </w:tblCellMar>
    </w:tblPr>
  </w:style>
  <w:style w:type="table" w:styleId="Table547">
    <w:basedOn w:val="TableNormal"/>
    <w:tblPr>
      <w:tblStyleRowBandSize w:val="1"/>
      <w:tblStyleColBandSize w:val="1"/>
      <w:tblCellMar>
        <w:top w:w="100.0" w:type="dxa"/>
        <w:left w:w="100.0" w:type="dxa"/>
        <w:bottom w:w="100.0" w:type="dxa"/>
        <w:right w:w="100.0" w:type="dxa"/>
      </w:tblCellMar>
    </w:tblPr>
  </w:style>
  <w:style w:type="table" w:styleId="Table548">
    <w:basedOn w:val="TableNormal"/>
    <w:tblPr>
      <w:tblStyleRowBandSize w:val="1"/>
      <w:tblStyleColBandSize w:val="1"/>
      <w:tblCellMar>
        <w:top w:w="100.0" w:type="dxa"/>
        <w:left w:w="100.0" w:type="dxa"/>
        <w:bottom w:w="100.0" w:type="dxa"/>
        <w:right w:w="100.0" w:type="dxa"/>
      </w:tblCellMar>
    </w:tblPr>
  </w:style>
  <w:style w:type="table" w:styleId="Table549">
    <w:basedOn w:val="TableNormal"/>
    <w:tblPr>
      <w:tblStyleRowBandSize w:val="1"/>
      <w:tblStyleColBandSize w:val="1"/>
      <w:tblCellMar>
        <w:top w:w="100.0" w:type="dxa"/>
        <w:left w:w="100.0" w:type="dxa"/>
        <w:bottom w:w="100.0" w:type="dxa"/>
        <w:right w:w="100.0" w:type="dxa"/>
      </w:tblCellMar>
    </w:tblPr>
  </w:style>
  <w:style w:type="table" w:styleId="Table550">
    <w:basedOn w:val="TableNormal"/>
    <w:tblPr>
      <w:tblStyleRowBandSize w:val="1"/>
      <w:tblStyleColBandSize w:val="1"/>
      <w:tblCellMar>
        <w:top w:w="100.0" w:type="dxa"/>
        <w:left w:w="100.0" w:type="dxa"/>
        <w:bottom w:w="100.0" w:type="dxa"/>
        <w:right w:w="100.0" w:type="dxa"/>
      </w:tblCellMar>
    </w:tblPr>
  </w:style>
  <w:style w:type="table" w:styleId="Table551">
    <w:basedOn w:val="TableNormal"/>
    <w:tblPr>
      <w:tblStyleRowBandSize w:val="1"/>
      <w:tblStyleColBandSize w:val="1"/>
      <w:tblCellMar>
        <w:top w:w="100.0" w:type="dxa"/>
        <w:left w:w="100.0" w:type="dxa"/>
        <w:bottom w:w="100.0" w:type="dxa"/>
        <w:right w:w="100.0" w:type="dxa"/>
      </w:tblCellMar>
    </w:tblPr>
  </w:style>
  <w:style w:type="table" w:styleId="Table552">
    <w:basedOn w:val="TableNormal"/>
    <w:tblPr>
      <w:tblStyleRowBandSize w:val="1"/>
      <w:tblStyleColBandSize w:val="1"/>
      <w:tblCellMar>
        <w:top w:w="100.0" w:type="dxa"/>
        <w:left w:w="100.0" w:type="dxa"/>
        <w:bottom w:w="100.0" w:type="dxa"/>
        <w:right w:w="100.0" w:type="dxa"/>
      </w:tblCellMar>
    </w:tblPr>
  </w:style>
  <w:style w:type="table" w:styleId="Table553">
    <w:basedOn w:val="TableNormal"/>
    <w:tblPr>
      <w:tblStyleRowBandSize w:val="1"/>
      <w:tblStyleColBandSize w:val="1"/>
      <w:tblCellMar>
        <w:top w:w="100.0" w:type="dxa"/>
        <w:left w:w="100.0" w:type="dxa"/>
        <w:bottom w:w="100.0" w:type="dxa"/>
        <w:right w:w="100.0" w:type="dxa"/>
      </w:tblCellMar>
    </w:tblPr>
  </w:style>
  <w:style w:type="table" w:styleId="Table554">
    <w:basedOn w:val="TableNormal"/>
    <w:tblPr>
      <w:tblStyleRowBandSize w:val="1"/>
      <w:tblStyleColBandSize w:val="1"/>
      <w:tblCellMar>
        <w:top w:w="100.0" w:type="dxa"/>
        <w:left w:w="100.0" w:type="dxa"/>
        <w:bottom w:w="100.0" w:type="dxa"/>
        <w:right w:w="100.0" w:type="dxa"/>
      </w:tblCellMar>
    </w:tblPr>
  </w:style>
  <w:style w:type="table" w:styleId="Table555">
    <w:basedOn w:val="TableNormal"/>
    <w:tblPr>
      <w:tblStyleRowBandSize w:val="1"/>
      <w:tblStyleColBandSize w:val="1"/>
      <w:tblCellMar>
        <w:top w:w="100.0" w:type="dxa"/>
        <w:left w:w="100.0" w:type="dxa"/>
        <w:bottom w:w="100.0" w:type="dxa"/>
        <w:right w:w="100.0" w:type="dxa"/>
      </w:tblCellMar>
    </w:tblPr>
  </w:style>
  <w:style w:type="table" w:styleId="Table556">
    <w:basedOn w:val="TableNormal"/>
    <w:tblPr>
      <w:tblStyleRowBandSize w:val="1"/>
      <w:tblStyleColBandSize w:val="1"/>
      <w:tblCellMar>
        <w:top w:w="100.0" w:type="dxa"/>
        <w:left w:w="100.0" w:type="dxa"/>
        <w:bottom w:w="100.0" w:type="dxa"/>
        <w:right w:w="100.0" w:type="dxa"/>
      </w:tblCellMar>
    </w:tblPr>
  </w:style>
  <w:style w:type="table" w:styleId="Table557">
    <w:basedOn w:val="TableNormal"/>
    <w:tblPr>
      <w:tblStyleRowBandSize w:val="1"/>
      <w:tblStyleColBandSize w:val="1"/>
      <w:tblCellMar>
        <w:top w:w="100.0" w:type="dxa"/>
        <w:left w:w="100.0" w:type="dxa"/>
        <w:bottom w:w="100.0" w:type="dxa"/>
        <w:right w:w="100.0" w:type="dxa"/>
      </w:tblCellMar>
    </w:tblPr>
  </w:style>
  <w:style w:type="table" w:styleId="Table558">
    <w:basedOn w:val="TableNormal"/>
    <w:tblPr>
      <w:tblStyleRowBandSize w:val="1"/>
      <w:tblStyleColBandSize w:val="1"/>
      <w:tblCellMar>
        <w:top w:w="100.0" w:type="dxa"/>
        <w:left w:w="100.0" w:type="dxa"/>
        <w:bottom w:w="100.0" w:type="dxa"/>
        <w:right w:w="100.0" w:type="dxa"/>
      </w:tblCellMar>
    </w:tblPr>
  </w:style>
  <w:style w:type="table" w:styleId="Table559">
    <w:basedOn w:val="TableNormal"/>
    <w:tblPr>
      <w:tblStyleRowBandSize w:val="1"/>
      <w:tblStyleColBandSize w:val="1"/>
      <w:tblCellMar>
        <w:top w:w="100.0" w:type="dxa"/>
        <w:left w:w="100.0" w:type="dxa"/>
        <w:bottom w:w="100.0" w:type="dxa"/>
        <w:right w:w="100.0" w:type="dxa"/>
      </w:tblCellMar>
    </w:tblPr>
  </w:style>
  <w:style w:type="table" w:styleId="Table560">
    <w:basedOn w:val="TableNormal"/>
    <w:tblPr>
      <w:tblStyleRowBandSize w:val="1"/>
      <w:tblStyleColBandSize w:val="1"/>
      <w:tblCellMar>
        <w:top w:w="100.0" w:type="dxa"/>
        <w:left w:w="100.0" w:type="dxa"/>
        <w:bottom w:w="100.0" w:type="dxa"/>
        <w:right w:w="100.0" w:type="dxa"/>
      </w:tblCellMar>
    </w:tblPr>
  </w:style>
  <w:style w:type="table" w:styleId="Table561">
    <w:basedOn w:val="TableNormal"/>
    <w:tblPr>
      <w:tblStyleRowBandSize w:val="1"/>
      <w:tblStyleColBandSize w:val="1"/>
      <w:tblCellMar>
        <w:top w:w="100.0" w:type="dxa"/>
        <w:left w:w="100.0" w:type="dxa"/>
        <w:bottom w:w="100.0" w:type="dxa"/>
        <w:right w:w="100.0" w:type="dxa"/>
      </w:tblCellMar>
    </w:tblPr>
  </w:style>
  <w:style w:type="table" w:styleId="Table562">
    <w:basedOn w:val="TableNormal"/>
    <w:tblPr>
      <w:tblStyleRowBandSize w:val="1"/>
      <w:tblStyleColBandSize w:val="1"/>
      <w:tblCellMar>
        <w:top w:w="100.0" w:type="dxa"/>
        <w:left w:w="100.0" w:type="dxa"/>
        <w:bottom w:w="100.0" w:type="dxa"/>
        <w:right w:w="100.0" w:type="dxa"/>
      </w:tblCellMar>
    </w:tblPr>
  </w:style>
  <w:style w:type="table" w:styleId="Table563">
    <w:basedOn w:val="TableNormal"/>
    <w:tblPr>
      <w:tblStyleRowBandSize w:val="1"/>
      <w:tblStyleColBandSize w:val="1"/>
      <w:tblCellMar>
        <w:top w:w="100.0" w:type="dxa"/>
        <w:left w:w="100.0" w:type="dxa"/>
        <w:bottom w:w="100.0" w:type="dxa"/>
        <w:right w:w="100.0" w:type="dxa"/>
      </w:tblCellMar>
    </w:tblPr>
  </w:style>
  <w:style w:type="table" w:styleId="Table564">
    <w:basedOn w:val="TableNormal"/>
    <w:tblPr>
      <w:tblStyleRowBandSize w:val="1"/>
      <w:tblStyleColBandSize w:val="1"/>
      <w:tblCellMar>
        <w:top w:w="100.0" w:type="dxa"/>
        <w:left w:w="100.0" w:type="dxa"/>
        <w:bottom w:w="100.0" w:type="dxa"/>
        <w:right w:w="100.0" w:type="dxa"/>
      </w:tblCellMar>
    </w:tblPr>
  </w:style>
  <w:style w:type="table" w:styleId="Table565">
    <w:basedOn w:val="TableNormal"/>
    <w:tblPr>
      <w:tblStyleRowBandSize w:val="1"/>
      <w:tblStyleColBandSize w:val="1"/>
      <w:tblCellMar>
        <w:top w:w="100.0" w:type="dxa"/>
        <w:left w:w="100.0" w:type="dxa"/>
        <w:bottom w:w="100.0" w:type="dxa"/>
        <w:right w:w="100.0" w:type="dxa"/>
      </w:tblCellMar>
    </w:tblPr>
  </w:style>
  <w:style w:type="table" w:styleId="Table566">
    <w:basedOn w:val="TableNormal"/>
    <w:tblPr>
      <w:tblStyleRowBandSize w:val="1"/>
      <w:tblStyleColBandSize w:val="1"/>
      <w:tblCellMar>
        <w:top w:w="100.0" w:type="dxa"/>
        <w:left w:w="100.0" w:type="dxa"/>
        <w:bottom w:w="100.0" w:type="dxa"/>
        <w:right w:w="100.0" w:type="dxa"/>
      </w:tblCellMar>
    </w:tblPr>
  </w:style>
  <w:style w:type="table" w:styleId="Table567">
    <w:basedOn w:val="TableNormal"/>
    <w:tblPr>
      <w:tblStyleRowBandSize w:val="1"/>
      <w:tblStyleColBandSize w:val="1"/>
      <w:tblCellMar>
        <w:top w:w="100.0" w:type="dxa"/>
        <w:left w:w="100.0" w:type="dxa"/>
        <w:bottom w:w="100.0" w:type="dxa"/>
        <w:right w:w="100.0" w:type="dxa"/>
      </w:tblCellMar>
    </w:tblPr>
  </w:style>
  <w:style w:type="table" w:styleId="Table568">
    <w:basedOn w:val="TableNormal"/>
    <w:tblPr>
      <w:tblStyleRowBandSize w:val="1"/>
      <w:tblStyleColBandSize w:val="1"/>
      <w:tblCellMar>
        <w:top w:w="100.0" w:type="dxa"/>
        <w:left w:w="100.0" w:type="dxa"/>
        <w:bottom w:w="100.0" w:type="dxa"/>
        <w:right w:w="100.0" w:type="dxa"/>
      </w:tblCellMar>
    </w:tblPr>
  </w:style>
  <w:style w:type="table" w:styleId="Table569">
    <w:basedOn w:val="TableNormal"/>
    <w:tblPr>
      <w:tblStyleRowBandSize w:val="1"/>
      <w:tblStyleColBandSize w:val="1"/>
      <w:tblCellMar>
        <w:top w:w="100.0" w:type="dxa"/>
        <w:left w:w="100.0" w:type="dxa"/>
        <w:bottom w:w="100.0" w:type="dxa"/>
        <w:right w:w="100.0" w:type="dxa"/>
      </w:tblCellMar>
    </w:tblPr>
  </w:style>
  <w:style w:type="table" w:styleId="Table570">
    <w:basedOn w:val="TableNormal"/>
    <w:tblPr>
      <w:tblStyleRowBandSize w:val="1"/>
      <w:tblStyleColBandSize w:val="1"/>
      <w:tblCellMar>
        <w:top w:w="100.0" w:type="dxa"/>
        <w:left w:w="100.0" w:type="dxa"/>
        <w:bottom w:w="100.0" w:type="dxa"/>
        <w:right w:w="100.0" w:type="dxa"/>
      </w:tblCellMar>
    </w:tblPr>
  </w:style>
  <w:style w:type="table" w:styleId="Table571">
    <w:basedOn w:val="TableNormal"/>
    <w:tblPr>
      <w:tblStyleRowBandSize w:val="1"/>
      <w:tblStyleColBandSize w:val="1"/>
      <w:tblCellMar>
        <w:top w:w="100.0" w:type="dxa"/>
        <w:left w:w="100.0" w:type="dxa"/>
        <w:bottom w:w="100.0" w:type="dxa"/>
        <w:right w:w="100.0" w:type="dxa"/>
      </w:tblCellMar>
    </w:tblPr>
  </w:style>
  <w:style w:type="table" w:styleId="Table572">
    <w:basedOn w:val="TableNormal"/>
    <w:tblPr>
      <w:tblStyleRowBandSize w:val="1"/>
      <w:tblStyleColBandSize w:val="1"/>
      <w:tblCellMar>
        <w:top w:w="100.0" w:type="dxa"/>
        <w:left w:w="100.0" w:type="dxa"/>
        <w:bottom w:w="100.0" w:type="dxa"/>
        <w:right w:w="100.0" w:type="dxa"/>
      </w:tblCellMar>
    </w:tblPr>
  </w:style>
  <w:style w:type="table" w:styleId="Table573">
    <w:basedOn w:val="TableNormal"/>
    <w:tblPr>
      <w:tblStyleRowBandSize w:val="1"/>
      <w:tblStyleColBandSize w:val="1"/>
      <w:tblCellMar>
        <w:top w:w="100.0" w:type="dxa"/>
        <w:left w:w="100.0" w:type="dxa"/>
        <w:bottom w:w="100.0" w:type="dxa"/>
        <w:right w:w="100.0" w:type="dxa"/>
      </w:tblCellMar>
    </w:tblPr>
  </w:style>
  <w:style w:type="table" w:styleId="Table574">
    <w:basedOn w:val="TableNormal"/>
    <w:tblPr>
      <w:tblStyleRowBandSize w:val="1"/>
      <w:tblStyleColBandSize w:val="1"/>
      <w:tblCellMar>
        <w:top w:w="100.0" w:type="dxa"/>
        <w:left w:w="100.0" w:type="dxa"/>
        <w:bottom w:w="100.0" w:type="dxa"/>
        <w:right w:w="100.0" w:type="dxa"/>
      </w:tblCellMar>
    </w:tblPr>
  </w:style>
  <w:style w:type="table" w:styleId="Table575">
    <w:basedOn w:val="TableNormal"/>
    <w:tblPr>
      <w:tblStyleRowBandSize w:val="1"/>
      <w:tblStyleColBandSize w:val="1"/>
      <w:tblCellMar>
        <w:top w:w="100.0" w:type="dxa"/>
        <w:left w:w="100.0" w:type="dxa"/>
        <w:bottom w:w="100.0" w:type="dxa"/>
        <w:right w:w="100.0" w:type="dxa"/>
      </w:tblCellMar>
    </w:tblPr>
  </w:style>
  <w:style w:type="table" w:styleId="Table576">
    <w:basedOn w:val="TableNormal"/>
    <w:tblPr>
      <w:tblStyleRowBandSize w:val="1"/>
      <w:tblStyleColBandSize w:val="1"/>
      <w:tblCellMar>
        <w:top w:w="100.0" w:type="dxa"/>
        <w:left w:w="100.0" w:type="dxa"/>
        <w:bottom w:w="100.0" w:type="dxa"/>
        <w:right w:w="100.0" w:type="dxa"/>
      </w:tblCellMar>
    </w:tblPr>
  </w:style>
  <w:style w:type="table" w:styleId="Table577">
    <w:basedOn w:val="TableNormal"/>
    <w:tblPr>
      <w:tblStyleRowBandSize w:val="1"/>
      <w:tblStyleColBandSize w:val="1"/>
      <w:tblCellMar>
        <w:top w:w="100.0" w:type="dxa"/>
        <w:left w:w="100.0" w:type="dxa"/>
        <w:bottom w:w="100.0" w:type="dxa"/>
        <w:right w:w="100.0" w:type="dxa"/>
      </w:tblCellMar>
    </w:tblPr>
  </w:style>
  <w:style w:type="table" w:styleId="Table578">
    <w:basedOn w:val="TableNormal"/>
    <w:tblPr>
      <w:tblStyleRowBandSize w:val="1"/>
      <w:tblStyleColBandSize w:val="1"/>
      <w:tblCellMar>
        <w:top w:w="100.0" w:type="dxa"/>
        <w:left w:w="100.0" w:type="dxa"/>
        <w:bottom w:w="100.0" w:type="dxa"/>
        <w:right w:w="100.0" w:type="dxa"/>
      </w:tblCellMar>
    </w:tblPr>
  </w:style>
  <w:style w:type="table" w:styleId="Table579">
    <w:basedOn w:val="TableNormal"/>
    <w:tblPr>
      <w:tblStyleRowBandSize w:val="1"/>
      <w:tblStyleColBandSize w:val="1"/>
      <w:tblCellMar>
        <w:top w:w="100.0" w:type="dxa"/>
        <w:left w:w="100.0" w:type="dxa"/>
        <w:bottom w:w="100.0" w:type="dxa"/>
        <w:right w:w="100.0" w:type="dxa"/>
      </w:tblCellMar>
    </w:tblPr>
  </w:style>
  <w:style w:type="table" w:styleId="Table580">
    <w:basedOn w:val="TableNormal"/>
    <w:tblPr>
      <w:tblStyleRowBandSize w:val="1"/>
      <w:tblStyleColBandSize w:val="1"/>
      <w:tblCellMar>
        <w:top w:w="100.0" w:type="dxa"/>
        <w:left w:w="100.0" w:type="dxa"/>
        <w:bottom w:w="100.0" w:type="dxa"/>
        <w:right w:w="100.0" w:type="dxa"/>
      </w:tblCellMar>
    </w:tblPr>
  </w:style>
  <w:style w:type="table" w:styleId="Table581">
    <w:basedOn w:val="TableNormal"/>
    <w:tblPr>
      <w:tblStyleRowBandSize w:val="1"/>
      <w:tblStyleColBandSize w:val="1"/>
      <w:tblCellMar>
        <w:top w:w="100.0" w:type="dxa"/>
        <w:left w:w="100.0" w:type="dxa"/>
        <w:bottom w:w="100.0" w:type="dxa"/>
        <w:right w:w="100.0" w:type="dxa"/>
      </w:tblCellMar>
    </w:tblPr>
  </w:style>
  <w:style w:type="table" w:styleId="Table582">
    <w:basedOn w:val="TableNormal"/>
    <w:tblPr>
      <w:tblStyleRowBandSize w:val="1"/>
      <w:tblStyleColBandSize w:val="1"/>
      <w:tblCellMar>
        <w:top w:w="100.0" w:type="dxa"/>
        <w:left w:w="100.0" w:type="dxa"/>
        <w:bottom w:w="100.0" w:type="dxa"/>
        <w:right w:w="100.0" w:type="dxa"/>
      </w:tblCellMar>
    </w:tblPr>
  </w:style>
  <w:style w:type="table" w:styleId="Table583">
    <w:basedOn w:val="TableNormal"/>
    <w:tblPr>
      <w:tblStyleRowBandSize w:val="1"/>
      <w:tblStyleColBandSize w:val="1"/>
      <w:tblCellMar>
        <w:top w:w="100.0" w:type="dxa"/>
        <w:left w:w="100.0" w:type="dxa"/>
        <w:bottom w:w="100.0" w:type="dxa"/>
        <w:right w:w="100.0" w:type="dxa"/>
      </w:tblCellMar>
    </w:tblPr>
  </w:style>
  <w:style w:type="table" w:styleId="Table584">
    <w:basedOn w:val="TableNormal"/>
    <w:tblPr>
      <w:tblStyleRowBandSize w:val="1"/>
      <w:tblStyleColBandSize w:val="1"/>
      <w:tblCellMar>
        <w:top w:w="100.0" w:type="dxa"/>
        <w:left w:w="100.0" w:type="dxa"/>
        <w:bottom w:w="100.0" w:type="dxa"/>
        <w:right w:w="100.0" w:type="dxa"/>
      </w:tblCellMar>
    </w:tblPr>
  </w:style>
  <w:style w:type="table" w:styleId="Table585">
    <w:basedOn w:val="TableNormal"/>
    <w:tblPr>
      <w:tblStyleRowBandSize w:val="1"/>
      <w:tblStyleColBandSize w:val="1"/>
      <w:tblCellMar>
        <w:top w:w="100.0" w:type="dxa"/>
        <w:left w:w="100.0" w:type="dxa"/>
        <w:bottom w:w="100.0" w:type="dxa"/>
        <w:right w:w="100.0" w:type="dxa"/>
      </w:tblCellMar>
    </w:tblPr>
  </w:style>
  <w:style w:type="table" w:styleId="Table586">
    <w:basedOn w:val="TableNormal"/>
    <w:tblPr>
      <w:tblStyleRowBandSize w:val="1"/>
      <w:tblStyleColBandSize w:val="1"/>
      <w:tblCellMar>
        <w:top w:w="100.0" w:type="dxa"/>
        <w:left w:w="100.0" w:type="dxa"/>
        <w:bottom w:w="100.0" w:type="dxa"/>
        <w:right w:w="100.0" w:type="dxa"/>
      </w:tblCellMar>
    </w:tblPr>
  </w:style>
  <w:style w:type="table" w:styleId="Table587">
    <w:basedOn w:val="TableNormal"/>
    <w:tblPr>
      <w:tblStyleRowBandSize w:val="1"/>
      <w:tblStyleColBandSize w:val="1"/>
      <w:tblCellMar>
        <w:top w:w="100.0" w:type="dxa"/>
        <w:left w:w="100.0" w:type="dxa"/>
        <w:bottom w:w="100.0" w:type="dxa"/>
        <w:right w:w="100.0" w:type="dxa"/>
      </w:tblCellMar>
    </w:tblPr>
  </w:style>
  <w:style w:type="table" w:styleId="Table588">
    <w:basedOn w:val="TableNormal"/>
    <w:tblPr>
      <w:tblStyleRowBandSize w:val="1"/>
      <w:tblStyleColBandSize w:val="1"/>
      <w:tblCellMar>
        <w:top w:w="100.0" w:type="dxa"/>
        <w:left w:w="100.0" w:type="dxa"/>
        <w:bottom w:w="100.0" w:type="dxa"/>
        <w:right w:w="100.0" w:type="dxa"/>
      </w:tblCellMar>
    </w:tblPr>
  </w:style>
  <w:style w:type="table" w:styleId="Table589">
    <w:basedOn w:val="TableNormal"/>
    <w:tblPr>
      <w:tblStyleRowBandSize w:val="1"/>
      <w:tblStyleColBandSize w:val="1"/>
      <w:tblCellMar>
        <w:top w:w="100.0" w:type="dxa"/>
        <w:left w:w="100.0" w:type="dxa"/>
        <w:bottom w:w="100.0" w:type="dxa"/>
        <w:right w:w="100.0" w:type="dxa"/>
      </w:tblCellMar>
    </w:tblPr>
  </w:style>
  <w:style w:type="table" w:styleId="Table590">
    <w:basedOn w:val="TableNormal"/>
    <w:tblPr>
      <w:tblStyleRowBandSize w:val="1"/>
      <w:tblStyleColBandSize w:val="1"/>
      <w:tblCellMar>
        <w:top w:w="100.0" w:type="dxa"/>
        <w:left w:w="100.0" w:type="dxa"/>
        <w:bottom w:w="100.0" w:type="dxa"/>
        <w:right w:w="100.0" w:type="dxa"/>
      </w:tblCellMar>
    </w:tblPr>
  </w:style>
  <w:style w:type="table" w:styleId="Table591">
    <w:basedOn w:val="TableNormal"/>
    <w:tblPr>
      <w:tblStyleRowBandSize w:val="1"/>
      <w:tblStyleColBandSize w:val="1"/>
      <w:tblCellMar>
        <w:top w:w="100.0" w:type="dxa"/>
        <w:left w:w="100.0" w:type="dxa"/>
        <w:bottom w:w="100.0" w:type="dxa"/>
        <w:right w:w="100.0" w:type="dxa"/>
      </w:tblCellMar>
    </w:tblPr>
  </w:style>
  <w:style w:type="table" w:styleId="Table592">
    <w:basedOn w:val="TableNormal"/>
    <w:tblPr>
      <w:tblStyleRowBandSize w:val="1"/>
      <w:tblStyleColBandSize w:val="1"/>
      <w:tblCellMar>
        <w:top w:w="100.0" w:type="dxa"/>
        <w:left w:w="100.0" w:type="dxa"/>
        <w:bottom w:w="100.0" w:type="dxa"/>
        <w:right w:w="100.0" w:type="dxa"/>
      </w:tblCellMar>
    </w:tblPr>
  </w:style>
  <w:style w:type="table" w:styleId="Table593">
    <w:basedOn w:val="TableNormal"/>
    <w:tblPr>
      <w:tblStyleRowBandSize w:val="1"/>
      <w:tblStyleColBandSize w:val="1"/>
      <w:tblCellMar>
        <w:top w:w="100.0" w:type="dxa"/>
        <w:left w:w="100.0" w:type="dxa"/>
        <w:bottom w:w="100.0" w:type="dxa"/>
        <w:right w:w="100.0" w:type="dxa"/>
      </w:tblCellMar>
    </w:tblPr>
  </w:style>
  <w:style w:type="table" w:styleId="Table594">
    <w:basedOn w:val="TableNormal"/>
    <w:tblPr>
      <w:tblStyleRowBandSize w:val="1"/>
      <w:tblStyleColBandSize w:val="1"/>
      <w:tblCellMar>
        <w:top w:w="100.0" w:type="dxa"/>
        <w:left w:w="100.0" w:type="dxa"/>
        <w:bottom w:w="100.0" w:type="dxa"/>
        <w:right w:w="100.0" w:type="dxa"/>
      </w:tblCellMar>
    </w:tblPr>
  </w:style>
  <w:style w:type="table" w:styleId="Table595">
    <w:basedOn w:val="TableNormal"/>
    <w:tblPr>
      <w:tblStyleRowBandSize w:val="1"/>
      <w:tblStyleColBandSize w:val="1"/>
      <w:tblCellMar>
        <w:top w:w="100.0" w:type="dxa"/>
        <w:left w:w="100.0" w:type="dxa"/>
        <w:bottom w:w="100.0" w:type="dxa"/>
        <w:right w:w="100.0" w:type="dxa"/>
      </w:tblCellMar>
    </w:tblPr>
  </w:style>
  <w:style w:type="table" w:styleId="Table596">
    <w:basedOn w:val="TableNormal"/>
    <w:tblPr>
      <w:tblStyleRowBandSize w:val="1"/>
      <w:tblStyleColBandSize w:val="1"/>
      <w:tblCellMar>
        <w:top w:w="100.0" w:type="dxa"/>
        <w:left w:w="100.0" w:type="dxa"/>
        <w:bottom w:w="100.0" w:type="dxa"/>
        <w:right w:w="100.0" w:type="dxa"/>
      </w:tblCellMar>
    </w:tblPr>
  </w:style>
  <w:style w:type="table" w:styleId="Table597">
    <w:basedOn w:val="TableNormal"/>
    <w:tblPr>
      <w:tblStyleRowBandSize w:val="1"/>
      <w:tblStyleColBandSize w:val="1"/>
      <w:tblCellMar>
        <w:top w:w="100.0" w:type="dxa"/>
        <w:left w:w="100.0" w:type="dxa"/>
        <w:bottom w:w="100.0" w:type="dxa"/>
        <w:right w:w="100.0" w:type="dxa"/>
      </w:tblCellMar>
    </w:tblPr>
  </w:style>
  <w:style w:type="table" w:styleId="Table598">
    <w:basedOn w:val="TableNormal"/>
    <w:tblPr>
      <w:tblStyleRowBandSize w:val="1"/>
      <w:tblStyleColBandSize w:val="1"/>
      <w:tblCellMar>
        <w:top w:w="100.0" w:type="dxa"/>
        <w:left w:w="100.0" w:type="dxa"/>
        <w:bottom w:w="100.0" w:type="dxa"/>
        <w:right w:w="100.0" w:type="dxa"/>
      </w:tblCellMar>
    </w:tblPr>
  </w:style>
  <w:style w:type="table" w:styleId="Table599">
    <w:basedOn w:val="TableNormal"/>
    <w:tblPr>
      <w:tblStyleRowBandSize w:val="1"/>
      <w:tblStyleColBandSize w:val="1"/>
      <w:tblCellMar>
        <w:top w:w="100.0" w:type="dxa"/>
        <w:left w:w="100.0" w:type="dxa"/>
        <w:bottom w:w="100.0" w:type="dxa"/>
        <w:right w:w="100.0" w:type="dxa"/>
      </w:tblCellMar>
    </w:tblPr>
  </w:style>
  <w:style w:type="table" w:styleId="Table600">
    <w:basedOn w:val="TableNormal"/>
    <w:tblPr>
      <w:tblStyleRowBandSize w:val="1"/>
      <w:tblStyleColBandSize w:val="1"/>
      <w:tblCellMar>
        <w:top w:w="100.0" w:type="dxa"/>
        <w:left w:w="100.0" w:type="dxa"/>
        <w:bottom w:w="100.0" w:type="dxa"/>
        <w:right w:w="100.0" w:type="dxa"/>
      </w:tblCellMar>
    </w:tblPr>
  </w:style>
  <w:style w:type="table" w:styleId="Table601">
    <w:basedOn w:val="TableNormal"/>
    <w:tblPr>
      <w:tblStyleRowBandSize w:val="1"/>
      <w:tblStyleColBandSize w:val="1"/>
      <w:tblCellMar>
        <w:top w:w="100.0" w:type="dxa"/>
        <w:left w:w="100.0" w:type="dxa"/>
        <w:bottom w:w="100.0" w:type="dxa"/>
        <w:right w:w="100.0" w:type="dxa"/>
      </w:tblCellMar>
    </w:tblPr>
  </w:style>
  <w:style w:type="table" w:styleId="Table602">
    <w:basedOn w:val="TableNormal"/>
    <w:tblPr>
      <w:tblStyleRowBandSize w:val="1"/>
      <w:tblStyleColBandSize w:val="1"/>
      <w:tblCellMar>
        <w:top w:w="100.0" w:type="dxa"/>
        <w:left w:w="100.0" w:type="dxa"/>
        <w:bottom w:w="100.0" w:type="dxa"/>
        <w:right w:w="100.0" w:type="dxa"/>
      </w:tblCellMar>
    </w:tblPr>
  </w:style>
  <w:style w:type="table" w:styleId="Table603">
    <w:basedOn w:val="TableNormal"/>
    <w:tblPr>
      <w:tblStyleRowBandSize w:val="1"/>
      <w:tblStyleColBandSize w:val="1"/>
      <w:tblCellMar>
        <w:top w:w="100.0" w:type="dxa"/>
        <w:left w:w="100.0" w:type="dxa"/>
        <w:bottom w:w="100.0" w:type="dxa"/>
        <w:right w:w="100.0" w:type="dxa"/>
      </w:tblCellMar>
    </w:tblPr>
  </w:style>
  <w:style w:type="table" w:styleId="Table604">
    <w:basedOn w:val="TableNormal"/>
    <w:tblPr>
      <w:tblStyleRowBandSize w:val="1"/>
      <w:tblStyleColBandSize w:val="1"/>
      <w:tblCellMar>
        <w:top w:w="100.0" w:type="dxa"/>
        <w:left w:w="100.0" w:type="dxa"/>
        <w:bottom w:w="100.0" w:type="dxa"/>
        <w:right w:w="100.0" w:type="dxa"/>
      </w:tblCellMar>
    </w:tblPr>
  </w:style>
  <w:style w:type="table" w:styleId="Table605">
    <w:basedOn w:val="TableNormal"/>
    <w:tblPr>
      <w:tblStyleRowBandSize w:val="1"/>
      <w:tblStyleColBandSize w:val="1"/>
      <w:tblCellMar>
        <w:top w:w="100.0" w:type="dxa"/>
        <w:left w:w="100.0" w:type="dxa"/>
        <w:bottom w:w="100.0" w:type="dxa"/>
        <w:right w:w="100.0" w:type="dxa"/>
      </w:tblCellMar>
    </w:tblPr>
  </w:style>
  <w:style w:type="table" w:styleId="Table606">
    <w:basedOn w:val="TableNormal"/>
    <w:tblPr>
      <w:tblStyleRowBandSize w:val="1"/>
      <w:tblStyleColBandSize w:val="1"/>
      <w:tblCellMar>
        <w:top w:w="100.0" w:type="dxa"/>
        <w:left w:w="100.0" w:type="dxa"/>
        <w:bottom w:w="100.0" w:type="dxa"/>
        <w:right w:w="100.0" w:type="dxa"/>
      </w:tblCellMar>
    </w:tblPr>
  </w:style>
  <w:style w:type="table" w:styleId="Table607">
    <w:basedOn w:val="TableNormal"/>
    <w:tblPr>
      <w:tblStyleRowBandSize w:val="1"/>
      <w:tblStyleColBandSize w:val="1"/>
      <w:tblCellMar>
        <w:top w:w="100.0" w:type="dxa"/>
        <w:left w:w="100.0" w:type="dxa"/>
        <w:bottom w:w="100.0" w:type="dxa"/>
        <w:right w:w="100.0" w:type="dxa"/>
      </w:tblCellMar>
    </w:tblPr>
  </w:style>
  <w:style w:type="table" w:styleId="Table608">
    <w:basedOn w:val="TableNormal"/>
    <w:tblPr>
      <w:tblStyleRowBandSize w:val="1"/>
      <w:tblStyleColBandSize w:val="1"/>
      <w:tblCellMar>
        <w:top w:w="100.0" w:type="dxa"/>
        <w:left w:w="100.0" w:type="dxa"/>
        <w:bottom w:w="100.0" w:type="dxa"/>
        <w:right w:w="100.0" w:type="dxa"/>
      </w:tblCellMar>
    </w:tblPr>
  </w:style>
  <w:style w:type="table" w:styleId="Table609">
    <w:basedOn w:val="TableNormal"/>
    <w:tblPr>
      <w:tblStyleRowBandSize w:val="1"/>
      <w:tblStyleColBandSize w:val="1"/>
      <w:tblCellMar>
        <w:top w:w="100.0" w:type="dxa"/>
        <w:left w:w="100.0" w:type="dxa"/>
        <w:bottom w:w="100.0" w:type="dxa"/>
        <w:right w:w="100.0" w:type="dxa"/>
      </w:tblCellMar>
    </w:tblPr>
  </w:style>
  <w:style w:type="table" w:styleId="Table610">
    <w:basedOn w:val="TableNormal"/>
    <w:tblPr>
      <w:tblStyleRowBandSize w:val="1"/>
      <w:tblStyleColBandSize w:val="1"/>
      <w:tblCellMar>
        <w:top w:w="100.0" w:type="dxa"/>
        <w:left w:w="100.0" w:type="dxa"/>
        <w:bottom w:w="100.0" w:type="dxa"/>
        <w:right w:w="100.0" w:type="dxa"/>
      </w:tblCellMar>
    </w:tblPr>
  </w:style>
  <w:style w:type="table" w:styleId="Table611">
    <w:basedOn w:val="TableNormal"/>
    <w:tblPr>
      <w:tblStyleRowBandSize w:val="1"/>
      <w:tblStyleColBandSize w:val="1"/>
      <w:tblCellMar>
        <w:top w:w="100.0" w:type="dxa"/>
        <w:left w:w="100.0" w:type="dxa"/>
        <w:bottom w:w="100.0" w:type="dxa"/>
        <w:right w:w="100.0" w:type="dxa"/>
      </w:tblCellMar>
    </w:tblPr>
  </w:style>
  <w:style w:type="table" w:styleId="Table612">
    <w:basedOn w:val="TableNormal"/>
    <w:tblPr>
      <w:tblStyleRowBandSize w:val="1"/>
      <w:tblStyleColBandSize w:val="1"/>
      <w:tblCellMar>
        <w:top w:w="100.0" w:type="dxa"/>
        <w:left w:w="100.0" w:type="dxa"/>
        <w:bottom w:w="100.0" w:type="dxa"/>
        <w:right w:w="100.0" w:type="dxa"/>
      </w:tblCellMar>
    </w:tblPr>
  </w:style>
  <w:style w:type="table" w:styleId="Table613">
    <w:basedOn w:val="TableNormal"/>
    <w:tblPr>
      <w:tblStyleRowBandSize w:val="1"/>
      <w:tblStyleColBandSize w:val="1"/>
      <w:tblCellMar>
        <w:top w:w="100.0" w:type="dxa"/>
        <w:left w:w="100.0" w:type="dxa"/>
        <w:bottom w:w="100.0" w:type="dxa"/>
        <w:right w:w="100.0" w:type="dxa"/>
      </w:tblCellMar>
    </w:tblPr>
  </w:style>
  <w:style w:type="table" w:styleId="Table614">
    <w:basedOn w:val="TableNormal"/>
    <w:tblPr>
      <w:tblStyleRowBandSize w:val="1"/>
      <w:tblStyleColBandSize w:val="1"/>
      <w:tblCellMar>
        <w:top w:w="100.0" w:type="dxa"/>
        <w:left w:w="100.0" w:type="dxa"/>
        <w:bottom w:w="100.0" w:type="dxa"/>
        <w:right w:w="100.0" w:type="dxa"/>
      </w:tblCellMar>
    </w:tblPr>
  </w:style>
  <w:style w:type="table" w:styleId="Table615">
    <w:basedOn w:val="TableNormal"/>
    <w:tblPr>
      <w:tblStyleRowBandSize w:val="1"/>
      <w:tblStyleColBandSize w:val="1"/>
      <w:tblCellMar>
        <w:top w:w="100.0" w:type="dxa"/>
        <w:left w:w="100.0" w:type="dxa"/>
        <w:bottom w:w="100.0" w:type="dxa"/>
        <w:right w:w="100.0" w:type="dxa"/>
      </w:tblCellMar>
    </w:tblPr>
  </w:style>
  <w:style w:type="table" w:styleId="Table616">
    <w:basedOn w:val="TableNormal"/>
    <w:tblPr>
      <w:tblStyleRowBandSize w:val="1"/>
      <w:tblStyleColBandSize w:val="1"/>
      <w:tblCellMar>
        <w:top w:w="100.0" w:type="dxa"/>
        <w:left w:w="100.0" w:type="dxa"/>
        <w:bottom w:w="100.0" w:type="dxa"/>
        <w:right w:w="100.0" w:type="dxa"/>
      </w:tblCellMar>
    </w:tblPr>
  </w:style>
  <w:style w:type="table" w:styleId="Table617">
    <w:basedOn w:val="TableNormal"/>
    <w:tblPr>
      <w:tblStyleRowBandSize w:val="1"/>
      <w:tblStyleColBandSize w:val="1"/>
      <w:tblCellMar>
        <w:top w:w="100.0" w:type="dxa"/>
        <w:left w:w="100.0" w:type="dxa"/>
        <w:bottom w:w="100.0" w:type="dxa"/>
        <w:right w:w="100.0" w:type="dxa"/>
      </w:tblCellMar>
    </w:tblPr>
  </w:style>
  <w:style w:type="table" w:styleId="Table618">
    <w:basedOn w:val="TableNormal"/>
    <w:tblPr>
      <w:tblStyleRowBandSize w:val="1"/>
      <w:tblStyleColBandSize w:val="1"/>
      <w:tblCellMar>
        <w:top w:w="100.0" w:type="dxa"/>
        <w:left w:w="100.0" w:type="dxa"/>
        <w:bottom w:w="100.0" w:type="dxa"/>
        <w:right w:w="100.0" w:type="dxa"/>
      </w:tblCellMar>
    </w:tblPr>
  </w:style>
  <w:style w:type="table" w:styleId="Table619">
    <w:basedOn w:val="TableNormal"/>
    <w:tblPr>
      <w:tblStyleRowBandSize w:val="1"/>
      <w:tblStyleColBandSize w:val="1"/>
      <w:tblCellMar>
        <w:top w:w="100.0" w:type="dxa"/>
        <w:left w:w="100.0" w:type="dxa"/>
        <w:bottom w:w="100.0" w:type="dxa"/>
        <w:right w:w="100.0" w:type="dxa"/>
      </w:tblCellMar>
    </w:tblPr>
  </w:style>
  <w:style w:type="table" w:styleId="Table620">
    <w:basedOn w:val="TableNormal"/>
    <w:tblPr>
      <w:tblStyleRowBandSize w:val="1"/>
      <w:tblStyleColBandSize w:val="1"/>
      <w:tblCellMar>
        <w:top w:w="100.0" w:type="dxa"/>
        <w:left w:w="100.0" w:type="dxa"/>
        <w:bottom w:w="100.0" w:type="dxa"/>
        <w:right w:w="100.0" w:type="dxa"/>
      </w:tblCellMar>
    </w:tblPr>
  </w:style>
  <w:style w:type="table" w:styleId="Table621">
    <w:basedOn w:val="TableNormal"/>
    <w:tblPr>
      <w:tblStyleRowBandSize w:val="1"/>
      <w:tblStyleColBandSize w:val="1"/>
      <w:tblCellMar>
        <w:top w:w="100.0" w:type="dxa"/>
        <w:left w:w="100.0" w:type="dxa"/>
        <w:bottom w:w="100.0" w:type="dxa"/>
        <w:right w:w="100.0" w:type="dxa"/>
      </w:tblCellMar>
    </w:tblPr>
  </w:style>
  <w:style w:type="table" w:styleId="Table622">
    <w:basedOn w:val="TableNormal"/>
    <w:tblPr>
      <w:tblStyleRowBandSize w:val="1"/>
      <w:tblStyleColBandSize w:val="1"/>
      <w:tblCellMar>
        <w:top w:w="100.0" w:type="dxa"/>
        <w:left w:w="100.0" w:type="dxa"/>
        <w:bottom w:w="100.0" w:type="dxa"/>
        <w:right w:w="100.0" w:type="dxa"/>
      </w:tblCellMar>
    </w:tblPr>
  </w:style>
  <w:style w:type="table" w:styleId="Table623">
    <w:basedOn w:val="TableNormal"/>
    <w:tblPr>
      <w:tblStyleRowBandSize w:val="1"/>
      <w:tblStyleColBandSize w:val="1"/>
      <w:tblCellMar>
        <w:top w:w="100.0" w:type="dxa"/>
        <w:left w:w="100.0" w:type="dxa"/>
        <w:bottom w:w="100.0" w:type="dxa"/>
        <w:right w:w="100.0" w:type="dxa"/>
      </w:tblCellMar>
    </w:tblPr>
  </w:style>
  <w:style w:type="table" w:styleId="Table624">
    <w:basedOn w:val="TableNormal"/>
    <w:tblPr>
      <w:tblStyleRowBandSize w:val="1"/>
      <w:tblStyleColBandSize w:val="1"/>
      <w:tblCellMar>
        <w:top w:w="100.0" w:type="dxa"/>
        <w:left w:w="100.0" w:type="dxa"/>
        <w:bottom w:w="100.0" w:type="dxa"/>
        <w:right w:w="100.0" w:type="dxa"/>
      </w:tblCellMar>
    </w:tblPr>
  </w:style>
  <w:style w:type="table" w:styleId="Table625">
    <w:basedOn w:val="TableNormal"/>
    <w:tblPr>
      <w:tblStyleRowBandSize w:val="1"/>
      <w:tblStyleColBandSize w:val="1"/>
      <w:tblCellMar>
        <w:top w:w="100.0" w:type="dxa"/>
        <w:left w:w="100.0" w:type="dxa"/>
        <w:bottom w:w="100.0" w:type="dxa"/>
        <w:right w:w="100.0" w:type="dxa"/>
      </w:tblCellMar>
    </w:tblPr>
  </w:style>
  <w:style w:type="table" w:styleId="Table626">
    <w:basedOn w:val="TableNormal"/>
    <w:tblPr>
      <w:tblStyleRowBandSize w:val="1"/>
      <w:tblStyleColBandSize w:val="1"/>
      <w:tblCellMar>
        <w:top w:w="100.0" w:type="dxa"/>
        <w:left w:w="100.0" w:type="dxa"/>
        <w:bottom w:w="100.0" w:type="dxa"/>
        <w:right w:w="100.0" w:type="dxa"/>
      </w:tblCellMar>
    </w:tblPr>
  </w:style>
  <w:style w:type="table" w:styleId="Table627">
    <w:basedOn w:val="TableNormal"/>
    <w:tblPr>
      <w:tblStyleRowBandSize w:val="1"/>
      <w:tblStyleColBandSize w:val="1"/>
      <w:tblCellMar>
        <w:top w:w="100.0" w:type="dxa"/>
        <w:left w:w="100.0" w:type="dxa"/>
        <w:bottom w:w="100.0" w:type="dxa"/>
        <w:right w:w="100.0" w:type="dxa"/>
      </w:tblCellMar>
    </w:tblPr>
  </w:style>
  <w:style w:type="table" w:styleId="Table628">
    <w:basedOn w:val="TableNormal"/>
    <w:tblPr>
      <w:tblStyleRowBandSize w:val="1"/>
      <w:tblStyleColBandSize w:val="1"/>
      <w:tblCellMar>
        <w:top w:w="100.0" w:type="dxa"/>
        <w:left w:w="100.0" w:type="dxa"/>
        <w:bottom w:w="100.0" w:type="dxa"/>
        <w:right w:w="100.0" w:type="dxa"/>
      </w:tblCellMar>
    </w:tblPr>
  </w:style>
  <w:style w:type="table" w:styleId="Table629">
    <w:basedOn w:val="TableNormal"/>
    <w:tblPr>
      <w:tblStyleRowBandSize w:val="1"/>
      <w:tblStyleColBandSize w:val="1"/>
      <w:tblCellMar>
        <w:top w:w="100.0" w:type="dxa"/>
        <w:left w:w="100.0" w:type="dxa"/>
        <w:bottom w:w="100.0" w:type="dxa"/>
        <w:right w:w="100.0" w:type="dxa"/>
      </w:tblCellMar>
    </w:tblPr>
  </w:style>
  <w:style w:type="table" w:styleId="Table630">
    <w:basedOn w:val="TableNormal"/>
    <w:tblPr>
      <w:tblStyleRowBandSize w:val="1"/>
      <w:tblStyleColBandSize w:val="1"/>
      <w:tblCellMar>
        <w:top w:w="100.0" w:type="dxa"/>
        <w:left w:w="100.0" w:type="dxa"/>
        <w:bottom w:w="100.0" w:type="dxa"/>
        <w:right w:w="100.0" w:type="dxa"/>
      </w:tblCellMar>
    </w:tblPr>
  </w:style>
  <w:style w:type="table" w:styleId="Table631">
    <w:basedOn w:val="TableNormal"/>
    <w:tblPr>
      <w:tblStyleRowBandSize w:val="1"/>
      <w:tblStyleColBandSize w:val="1"/>
      <w:tblCellMar>
        <w:top w:w="100.0" w:type="dxa"/>
        <w:left w:w="100.0" w:type="dxa"/>
        <w:bottom w:w="100.0" w:type="dxa"/>
        <w:right w:w="100.0" w:type="dxa"/>
      </w:tblCellMar>
    </w:tblPr>
  </w:style>
  <w:style w:type="table" w:styleId="Table632">
    <w:basedOn w:val="TableNormal"/>
    <w:tblPr>
      <w:tblStyleRowBandSize w:val="1"/>
      <w:tblStyleColBandSize w:val="1"/>
      <w:tblCellMar>
        <w:top w:w="100.0" w:type="dxa"/>
        <w:left w:w="100.0" w:type="dxa"/>
        <w:bottom w:w="100.0" w:type="dxa"/>
        <w:right w:w="100.0" w:type="dxa"/>
      </w:tblCellMar>
    </w:tblPr>
  </w:style>
  <w:style w:type="table" w:styleId="Table633">
    <w:basedOn w:val="TableNormal"/>
    <w:tblPr>
      <w:tblStyleRowBandSize w:val="1"/>
      <w:tblStyleColBandSize w:val="1"/>
      <w:tblCellMar>
        <w:top w:w="100.0" w:type="dxa"/>
        <w:left w:w="100.0" w:type="dxa"/>
        <w:bottom w:w="100.0" w:type="dxa"/>
        <w:right w:w="100.0" w:type="dxa"/>
      </w:tblCellMar>
    </w:tblPr>
  </w:style>
  <w:style w:type="table" w:styleId="Table634">
    <w:basedOn w:val="TableNormal"/>
    <w:tblPr>
      <w:tblStyleRowBandSize w:val="1"/>
      <w:tblStyleColBandSize w:val="1"/>
      <w:tblCellMar>
        <w:top w:w="100.0" w:type="dxa"/>
        <w:left w:w="100.0" w:type="dxa"/>
        <w:bottom w:w="100.0" w:type="dxa"/>
        <w:right w:w="100.0" w:type="dxa"/>
      </w:tblCellMar>
    </w:tblPr>
  </w:style>
  <w:style w:type="table" w:styleId="Table635">
    <w:basedOn w:val="TableNormal"/>
    <w:tblPr>
      <w:tblStyleRowBandSize w:val="1"/>
      <w:tblStyleColBandSize w:val="1"/>
      <w:tblCellMar>
        <w:top w:w="100.0" w:type="dxa"/>
        <w:left w:w="100.0" w:type="dxa"/>
        <w:bottom w:w="100.0" w:type="dxa"/>
        <w:right w:w="100.0" w:type="dxa"/>
      </w:tblCellMar>
    </w:tblPr>
  </w:style>
  <w:style w:type="table" w:styleId="Table636">
    <w:basedOn w:val="TableNormal"/>
    <w:tblPr>
      <w:tblStyleRowBandSize w:val="1"/>
      <w:tblStyleColBandSize w:val="1"/>
      <w:tblCellMar>
        <w:top w:w="100.0" w:type="dxa"/>
        <w:left w:w="100.0" w:type="dxa"/>
        <w:bottom w:w="100.0" w:type="dxa"/>
        <w:right w:w="100.0" w:type="dxa"/>
      </w:tblCellMar>
    </w:tblPr>
  </w:style>
  <w:style w:type="table" w:styleId="Table637">
    <w:basedOn w:val="TableNormal"/>
    <w:tblPr>
      <w:tblStyleRowBandSize w:val="1"/>
      <w:tblStyleColBandSize w:val="1"/>
      <w:tblCellMar>
        <w:top w:w="100.0" w:type="dxa"/>
        <w:left w:w="100.0" w:type="dxa"/>
        <w:bottom w:w="100.0" w:type="dxa"/>
        <w:right w:w="100.0" w:type="dxa"/>
      </w:tblCellMar>
    </w:tblPr>
  </w:style>
  <w:style w:type="table" w:styleId="Table638">
    <w:basedOn w:val="TableNormal"/>
    <w:tblPr>
      <w:tblStyleRowBandSize w:val="1"/>
      <w:tblStyleColBandSize w:val="1"/>
      <w:tblCellMar>
        <w:top w:w="100.0" w:type="dxa"/>
        <w:left w:w="100.0" w:type="dxa"/>
        <w:bottom w:w="100.0" w:type="dxa"/>
        <w:right w:w="100.0" w:type="dxa"/>
      </w:tblCellMar>
    </w:tblPr>
  </w:style>
  <w:style w:type="table" w:styleId="Table639">
    <w:basedOn w:val="TableNormal"/>
    <w:tblPr>
      <w:tblStyleRowBandSize w:val="1"/>
      <w:tblStyleColBandSize w:val="1"/>
      <w:tblCellMar>
        <w:top w:w="100.0" w:type="dxa"/>
        <w:left w:w="100.0" w:type="dxa"/>
        <w:bottom w:w="100.0" w:type="dxa"/>
        <w:right w:w="100.0" w:type="dxa"/>
      </w:tblCellMar>
    </w:tblPr>
  </w:style>
  <w:style w:type="table" w:styleId="Table640">
    <w:basedOn w:val="TableNormal"/>
    <w:tblPr>
      <w:tblStyleRowBandSize w:val="1"/>
      <w:tblStyleColBandSize w:val="1"/>
      <w:tblCellMar>
        <w:top w:w="100.0" w:type="dxa"/>
        <w:left w:w="100.0" w:type="dxa"/>
        <w:bottom w:w="100.0" w:type="dxa"/>
        <w:right w:w="100.0" w:type="dxa"/>
      </w:tblCellMar>
    </w:tblPr>
  </w:style>
  <w:style w:type="table" w:styleId="Table641">
    <w:basedOn w:val="TableNormal"/>
    <w:tblPr>
      <w:tblStyleRowBandSize w:val="1"/>
      <w:tblStyleColBandSize w:val="1"/>
      <w:tblCellMar>
        <w:top w:w="100.0" w:type="dxa"/>
        <w:left w:w="100.0" w:type="dxa"/>
        <w:bottom w:w="100.0" w:type="dxa"/>
        <w:right w:w="100.0" w:type="dxa"/>
      </w:tblCellMar>
    </w:tblPr>
  </w:style>
  <w:style w:type="table" w:styleId="Table642">
    <w:basedOn w:val="TableNormal"/>
    <w:tblPr>
      <w:tblStyleRowBandSize w:val="1"/>
      <w:tblStyleColBandSize w:val="1"/>
      <w:tblCellMar>
        <w:top w:w="100.0" w:type="dxa"/>
        <w:left w:w="100.0" w:type="dxa"/>
        <w:bottom w:w="100.0" w:type="dxa"/>
        <w:right w:w="100.0" w:type="dxa"/>
      </w:tblCellMar>
    </w:tblPr>
  </w:style>
  <w:style w:type="table" w:styleId="Table643">
    <w:basedOn w:val="TableNormal"/>
    <w:tblPr>
      <w:tblStyleRowBandSize w:val="1"/>
      <w:tblStyleColBandSize w:val="1"/>
      <w:tblCellMar>
        <w:top w:w="100.0" w:type="dxa"/>
        <w:left w:w="100.0" w:type="dxa"/>
        <w:bottom w:w="100.0" w:type="dxa"/>
        <w:right w:w="100.0" w:type="dxa"/>
      </w:tblCellMar>
    </w:tblPr>
  </w:style>
  <w:style w:type="table" w:styleId="Table644">
    <w:basedOn w:val="TableNormal"/>
    <w:tblPr>
      <w:tblStyleRowBandSize w:val="1"/>
      <w:tblStyleColBandSize w:val="1"/>
      <w:tblCellMar>
        <w:top w:w="100.0" w:type="dxa"/>
        <w:left w:w="100.0" w:type="dxa"/>
        <w:bottom w:w="100.0" w:type="dxa"/>
        <w:right w:w="100.0" w:type="dxa"/>
      </w:tblCellMar>
    </w:tblPr>
  </w:style>
  <w:style w:type="table" w:styleId="Table645">
    <w:basedOn w:val="TableNormal"/>
    <w:tblPr>
      <w:tblStyleRowBandSize w:val="1"/>
      <w:tblStyleColBandSize w:val="1"/>
      <w:tblCellMar>
        <w:top w:w="100.0" w:type="dxa"/>
        <w:left w:w="100.0" w:type="dxa"/>
        <w:bottom w:w="100.0" w:type="dxa"/>
        <w:right w:w="100.0" w:type="dxa"/>
      </w:tblCellMar>
    </w:tblPr>
  </w:style>
  <w:style w:type="table" w:styleId="Table64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